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CEE4B" w14:textId="785D8B50" w:rsidR="00207664" w:rsidRDefault="009C36F4" w:rsidP="00207664">
      <w:pPr>
        <w:pStyle w:val="Heading1"/>
        <w:tabs>
          <w:tab w:val="left" w:pos="6675"/>
        </w:tabs>
        <w:ind w:left="-2160" w:firstLine="180"/>
      </w:pPr>
      <w:bookmarkStart w:id="0" w:name="_GoBack"/>
      <w:bookmarkEnd w:id="0"/>
      <w:r>
        <w:rPr>
          <w:sz w:val="24"/>
        </w:rPr>
        <w:t>Issue</w:t>
      </w:r>
      <w:r w:rsidR="00207664">
        <w:rPr>
          <w:sz w:val="24"/>
        </w:rPr>
        <w:tab/>
      </w:r>
    </w:p>
    <w:p w14:paraId="31FEF5FE" w14:textId="77777777" w:rsidR="009C101F" w:rsidRPr="00020E5A" w:rsidRDefault="009C101F" w:rsidP="00170181">
      <w:pPr>
        <w:pStyle w:val="Heading1"/>
        <w:tabs>
          <w:tab w:val="left" w:pos="6675"/>
        </w:tabs>
        <w:ind w:left="-810"/>
        <w:rPr>
          <w:rFonts w:ascii="Garamond" w:hAnsi="Garamond"/>
          <w:bCs w:val="0"/>
          <w:color w:val="auto"/>
          <w:kern w:val="0"/>
          <w:sz w:val="22"/>
          <w:szCs w:val="20"/>
        </w:rPr>
      </w:pPr>
      <w:r w:rsidRPr="00020E5A">
        <w:rPr>
          <w:rFonts w:ascii="Garamond" w:hAnsi="Garamond"/>
          <w:bCs w:val="0"/>
          <w:color w:val="auto"/>
          <w:kern w:val="0"/>
          <w:sz w:val="22"/>
          <w:szCs w:val="20"/>
        </w:rPr>
        <w:t xml:space="preserve">Determination of whether fully depreciated building are to be maintained throughout the life of the buildings on the NAF or APF accounting books. </w:t>
      </w:r>
    </w:p>
    <w:p w14:paraId="777202BF" w14:textId="7A85FBF1" w:rsidR="00207664" w:rsidRDefault="00170181" w:rsidP="00AB0BCF">
      <w:pPr>
        <w:pStyle w:val="Heading1"/>
        <w:tabs>
          <w:tab w:val="left" w:pos="6675"/>
        </w:tabs>
        <w:ind w:left="-810"/>
        <w:rPr>
          <w:rFonts w:ascii="Garamond" w:hAnsi="Garamond"/>
          <w:bCs w:val="0"/>
          <w:color w:val="auto"/>
          <w:kern w:val="0"/>
          <w:sz w:val="24"/>
          <w:szCs w:val="20"/>
        </w:rPr>
      </w:pPr>
      <w:r w:rsidRPr="007D16BF">
        <w:rPr>
          <w:rFonts w:ascii="Garamond" w:hAnsi="Garamond"/>
          <w:bCs w:val="0"/>
          <w:color w:val="auto"/>
          <w:kern w:val="0"/>
          <w:sz w:val="24"/>
          <w:szCs w:val="20"/>
        </w:rPr>
        <w:t xml:space="preserve"> </w:t>
      </w:r>
    </w:p>
    <w:p w14:paraId="6BE0444F" w14:textId="77777777" w:rsidR="00207664" w:rsidRDefault="00207664" w:rsidP="00207664">
      <w:pPr>
        <w:pStyle w:val="Heading1"/>
        <w:tabs>
          <w:tab w:val="left" w:pos="6675"/>
        </w:tabs>
        <w:ind w:left="-1980"/>
        <w:rPr>
          <w:sz w:val="24"/>
        </w:rPr>
      </w:pPr>
      <w:r>
        <w:rPr>
          <w:sz w:val="24"/>
        </w:rPr>
        <w:t>Research</w:t>
      </w:r>
    </w:p>
    <w:p w14:paraId="1FADC66F" w14:textId="71784830" w:rsidR="00207664" w:rsidRPr="00020E5A" w:rsidRDefault="00207664" w:rsidP="00BC6A0F">
      <w:pPr>
        <w:ind w:left="-810"/>
      </w:pPr>
      <w:r w:rsidRPr="00020E5A">
        <w:t xml:space="preserve">Below outlines the current treatment </w:t>
      </w:r>
      <w:r w:rsidR="00595A3C" w:rsidRPr="00020E5A">
        <w:t xml:space="preserve">on </w:t>
      </w:r>
      <w:r w:rsidRPr="00020E5A">
        <w:t>how each service complies and what the regulations, accounting guidance and industry standards are for this area.</w:t>
      </w:r>
    </w:p>
    <w:tbl>
      <w:tblPr>
        <w:tblStyle w:val="LightGrid"/>
        <w:tblpPr w:leftFromText="180" w:rightFromText="180" w:vertAnchor="text" w:horzAnchor="page" w:tblpXSpec="center" w:tblpY="151"/>
        <w:tblW w:w="14670" w:type="dxa"/>
        <w:jc w:val="center"/>
        <w:tblLayout w:type="fixed"/>
        <w:tblLook w:val="04A0" w:firstRow="1" w:lastRow="0" w:firstColumn="1" w:lastColumn="0" w:noHBand="0" w:noVBand="1"/>
      </w:tblPr>
      <w:tblGrid>
        <w:gridCol w:w="7488"/>
        <w:gridCol w:w="1710"/>
        <w:gridCol w:w="1800"/>
        <w:gridCol w:w="1800"/>
        <w:gridCol w:w="1872"/>
      </w:tblGrid>
      <w:tr w:rsidR="00207664" w:rsidRPr="00655FDE" w14:paraId="3F51E2C1" w14:textId="77777777" w:rsidTr="004F1CE6">
        <w:trPr>
          <w:cnfStyle w:val="100000000000" w:firstRow="1" w:lastRow="0" w:firstColumn="0" w:lastColumn="0" w:oddVBand="0" w:evenVBand="0" w:oddHBand="0"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7488" w:type="dxa"/>
            <w:shd w:val="clear" w:color="auto" w:fill="000000" w:themeFill="text1"/>
            <w:vAlign w:val="center"/>
          </w:tcPr>
          <w:p w14:paraId="68A243B9" w14:textId="7AF80BEA" w:rsidR="00207664" w:rsidRPr="00D952E5" w:rsidRDefault="00EF6931" w:rsidP="00EF6931">
            <w:pPr>
              <w:jc w:val="center"/>
              <w:rPr>
                <w:sz w:val="26"/>
                <w:szCs w:val="26"/>
              </w:rPr>
            </w:pPr>
            <w:r>
              <w:rPr>
                <w:sz w:val="26"/>
                <w:szCs w:val="26"/>
              </w:rPr>
              <w:t>Fully Depreciated Buildings Treatment and Guidance</w:t>
            </w:r>
          </w:p>
        </w:tc>
        <w:tc>
          <w:tcPr>
            <w:tcW w:w="1710" w:type="dxa"/>
            <w:shd w:val="clear" w:color="auto" w:fill="000000" w:themeFill="text1"/>
            <w:vAlign w:val="center"/>
          </w:tcPr>
          <w:p w14:paraId="340D0146" w14:textId="77777777" w:rsidR="00207664" w:rsidRPr="00D952E5" w:rsidRDefault="00207664" w:rsidP="00BF4937">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Air Force</w:t>
            </w:r>
          </w:p>
        </w:tc>
        <w:tc>
          <w:tcPr>
            <w:tcW w:w="1800" w:type="dxa"/>
            <w:shd w:val="clear" w:color="auto" w:fill="000000" w:themeFill="text1"/>
            <w:vAlign w:val="center"/>
          </w:tcPr>
          <w:p w14:paraId="71F6B7F0" w14:textId="77777777" w:rsidR="00207664" w:rsidRPr="00D952E5" w:rsidRDefault="00207664" w:rsidP="00BF4937">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Army</w:t>
            </w:r>
          </w:p>
        </w:tc>
        <w:tc>
          <w:tcPr>
            <w:tcW w:w="1800" w:type="dxa"/>
            <w:shd w:val="clear" w:color="auto" w:fill="000000" w:themeFill="text1"/>
            <w:vAlign w:val="center"/>
          </w:tcPr>
          <w:p w14:paraId="20FB6667" w14:textId="77777777" w:rsidR="00207664" w:rsidRPr="00D952E5" w:rsidRDefault="00207664" w:rsidP="00BF4937">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Navy</w:t>
            </w:r>
          </w:p>
        </w:tc>
        <w:tc>
          <w:tcPr>
            <w:tcW w:w="1872" w:type="dxa"/>
            <w:shd w:val="clear" w:color="auto" w:fill="000000" w:themeFill="text1"/>
            <w:vAlign w:val="center"/>
          </w:tcPr>
          <w:p w14:paraId="67944CC4" w14:textId="77777777" w:rsidR="00207664" w:rsidRPr="00D952E5" w:rsidRDefault="00207664" w:rsidP="00BF4937">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Marines</w:t>
            </w:r>
          </w:p>
        </w:tc>
      </w:tr>
      <w:tr w:rsidR="00527903" w:rsidRPr="00655FDE" w14:paraId="34BF6C59" w14:textId="77777777" w:rsidTr="004F1CE6">
        <w:trPr>
          <w:cnfStyle w:val="000000100000" w:firstRow="0" w:lastRow="0" w:firstColumn="0" w:lastColumn="0" w:oddVBand="0" w:evenVBand="0" w:oddHBand="1"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7488" w:type="dxa"/>
            <w:shd w:val="clear" w:color="auto" w:fill="C0C0C0"/>
          </w:tcPr>
          <w:p w14:paraId="6C5D867F" w14:textId="35337020" w:rsidR="00527903" w:rsidRPr="00020E5A" w:rsidRDefault="00EF6931" w:rsidP="00AB0BCF">
            <w:pPr>
              <w:rPr>
                <w:rFonts w:asciiTheme="minorHAnsi" w:hAnsiTheme="minorHAnsi"/>
                <w:szCs w:val="23"/>
              </w:rPr>
            </w:pPr>
            <w:r w:rsidRPr="00020E5A">
              <w:rPr>
                <w:rFonts w:asciiTheme="minorHAnsi" w:hAnsiTheme="minorHAnsi"/>
                <w:szCs w:val="23"/>
              </w:rPr>
              <w:t>Fully Depreciated Buildings Treatment</w:t>
            </w:r>
          </w:p>
        </w:tc>
        <w:tc>
          <w:tcPr>
            <w:tcW w:w="1710" w:type="dxa"/>
            <w:shd w:val="clear" w:color="auto" w:fill="C0C0C0"/>
          </w:tcPr>
          <w:p w14:paraId="54796754" w14:textId="25D69C35" w:rsidR="00527903" w:rsidRPr="00020E5A" w:rsidRDefault="009C101F" w:rsidP="00AB0BCF">
            <w:pPr>
              <w:cnfStyle w:val="000000100000" w:firstRow="0" w:lastRow="0" w:firstColumn="0" w:lastColumn="0" w:oddVBand="0" w:evenVBand="0" w:oddHBand="1" w:evenHBand="0" w:firstRowFirstColumn="0" w:firstRowLastColumn="0" w:lastRowFirstColumn="0" w:lastRowLastColumn="0"/>
              <w:rPr>
                <w:rFonts w:asciiTheme="minorHAnsi" w:hAnsiTheme="minorHAnsi"/>
                <w:szCs w:val="23"/>
              </w:rPr>
            </w:pPr>
            <w:r w:rsidRPr="00020E5A">
              <w:rPr>
                <w:rFonts w:asciiTheme="minorHAnsi" w:hAnsiTheme="minorHAnsi"/>
                <w:szCs w:val="23"/>
              </w:rPr>
              <w:t>Unclea</w:t>
            </w:r>
            <w:r w:rsidR="00AB0BCF" w:rsidRPr="00020E5A">
              <w:rPr>
                <w:rFonts w:asciiTheme="minorHAnsi" w:hAnsiTheme="minorHAnsi"/>
                <w:szCs w:val="23"/>
              </w:rPr>
              <w:t>r</w:t>
            </w:r>
          </w:p>
        </w:tc>
        <w:tc>
          <w:tcPr>
            <w:tcW w:w="1800" w:type="dxa"/>
            <w:shd w:val="clear" w:color="auto" w:fill="C0C0C0"/>
          </w:tcPr>
          <w:p w14:paraId="4116AA8E" w14:textId="03EE69D7" w:rsidR="00527903" w:rsidRPr="00020E5A" w:rsidRDefault="009C101F" w:rsidP="009C101F">
            <w:pPr>
              <w:cnfStyle w:val="000000100000" w:firstRow="0" w:lastRow="0" w:firstColumn="0" w:lastColumn="0" w:oddVBand="0" w:evenVBand="0" w:oddHBand="1" w:evenHBand="0" w:firstRowFirstColumn="0" w:firstRowLastColumn="0" w:lastRowFirstColumn="0" w:lastRowLastColumn="0"/>
              <w:rPr>
                <w:rFonts w:asciiTheme="minorHAnsi" w:hAnsiTheme="minorHAnsi"/>
                <w:szCs w:val="23"/>
              </w:rPr>
            </w:pPr>
            <w:r w:rsidRPr="00020E5A">
              <w:rPr>
                <w:rFonts w:asciiTheme="minorHAnsi" w:hAnsiTheme="minorHAnsi"/>
                <w:szCs w:val="23"/>
              </w:rPr>
              <w:t>Unclear</w:t>
            </w:r>
          </w:p>
        </w:tc>
        <w:tc>
          <w:tcPr>
            <w:tcW w:w="1800" w:type="dxa"/>
            <w:shd w:val="clear" w:color="auto" w:fill="C0C0C0"/>
          </w:tcPr>
          <w:p w14:paraId="26E92243" w14:textId="7741AFFA" w:rsidR="00527903" w:rsidRPr="00020E5A" w:rsidRDefault="009C101F" w:rsidP="0009111E">
            <w:pPr>
              <w:cnfStyle w:val="000000100000" w:firstRow="0" w:lastRow="0" w:firstColumn="0" w:lastColumn="0" w:oddVBand="0" w:evenVBand="0" w:oddHBand="1" w:evenHBand="0" w:firstRowFirstColumn="0" w:firstRowLastColumn="0" w:lastRowFirstColumn="0" w:lastRowLastColumn="0"/>
              <w:rPr>
                <w:rFonts w:asciiTheme="minorHAnsi" w:hAnsiTheme="minorHAnsi"/>
                <w:szCs w:val="23"/>
              </w:rPr>
            </w:pPr>
            <w:r w:rsidRPr="00020E5A">
              <w:rPr>
                <w:rFonts w:asciiTheme="minorHAnsi" w:hAnsiTheme="minorHAnsi"/>
                <w:szCs w:val="23"/>
              </w:rPr>
              <w:t>Unclear</w:t>
            </w:r>
          </w:p>
        </w:tc>
        <w:tc>
          <w:tcPr>
            <w:tcW w:w="1872" w:type="dxa"/>
            <w:shd w:val="clear" w:color="auto" w:fill="C0C0C0"/>
          </w:tcPr>
          <w:p w14:paraId="6C4F0A4A" w14:textId="2002FA0D" w:rsidR="00527903" w:rsidRPr="00020E5A" w:rsidRDefault="009C101F" w:rsidP="0009111E">
            <w:pPr>
              <w:tabs>
                <w:tab w:val="left" w:pos="1408"/>
              </w:tabs>
              <w:cnfStyle w:val="000000100000" w:firstRow="0" w:lastRow="0" w:firstColumn="0" w:lastColumn="0" w:oddVBand="0" w:evenVBand="0" w:oddHBand="1" w:evenHBand="0" w:firstRowFirstColumn="0" w:firstRowLastColumn="0" w:lastRowFirstColumn="0" w:lastRowLastColumn="0"/>
              <w:rPr>
                <w:rFonts w:asciiTheme="minorHAnsi" w:hAnsiTheme="minorHAnsi"/>
                <w:szCs w:val="23"/>
              </w:rPr>
            </w:pPr>
            <w:r w:rsidRPr="00020E5A">
              <w:rPr>
                <w:rFonts w:asciiTheme="minorHAnsi" w:hAnsiTheme="minorHAnsi"/>
                <w:szCs w:val="23"/>
              </w:rPr>
              <w:t>Unclear</w:t>
            </w:r>
          </w:p>
        </w:tc>
      </w:tr>
      <w:tr w:rsidR="00587A87" w:rsidRPr="00655FDE" w14:paraId="15FE1898" w14:textId="77777777" w:rsidTr="004F1CE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88" w:type="dxa"/>
            <w:shd w:val="clear" w:color="auto" w:fill="FFFFFF" w:themeFill="background1"/>
          </w:tcPr>
          <w:p w14:paraId="2EAC637B" w14:textId="11615CEC" w:rsidR="00587A87" w:rsidRPr="00020E5A" w:rsidRDefault="00587A87" w:rsidP="00AB0BCF">
            <w:pPr>
              <w:autoSpaceDE w:val="0"/>
              <w:autoSpaceDN w:val="0"/>
              <w:adjustRightInd w:val="0"/>
              <w:rPr>
                <w:rFonts w:asciiTheme="minorHAnsi" w:hAnsiTheme="minorHAnsi"/>
                <w:b w:val="0"/>
                <w:color w:val="FF0000"/>
                <w:szCs w:val="23"/>
              </w:rPr>
            </w:pPr>
            <w:r w:rsidRPr="00020E5A">
              <w:rPr>
                <w:rFonts w:asciiTheme="minorHAnsi" w:hAnsiTheme="minorHAnsi"/>
                <w:szCs w:val="23"/>
              </w:rPr>
              <w:t xml:space="preserve">DoDI 1015.15: </w:t>
            </w:r>
            <w:r w:rsidR="00EF6931" w:rsidRPr="00020E5A">
              <w:rPr>
                <w:rFonts w:ascii="Times New Roman" w:eastAsia="Times New Roman" w:hAnsi="Times New Roman" w:cs="Times New Roman"/>
                <w:b w:val="0"/>
                <w:bCs w:val="0"/>
                <w:color w:val="000000"/>
                <w:szCs w:val="23"/>
              </w:rPr>
              <w:t xml:space="preserve"> </w:t>
            </w:r>
            <w:r w:rsidR="00EF6931" w:rsidRPr="00020E5A">
              <w:rPr>
                <w:rFonts w:asciiTheme="minorHAnsi" w:hAnsiTheme="minorHAnsi" w:cs="Times New Roman"/>
                <w:szCs w:val="23"/>
              </w:rPr>
              <w:t>6.4.2.6.2.4.</w:t>
            </w:r>
            <w:r w:rsidR="00EF6931" w:rsidRPr="00020E5A">
              <w:rPr>
                <w:rFonts w:asciiTheme="minorHAnsi" w:hAnsiTheme="minorHAnsi" w:cs="Times New Roman"/>
                <w:b w:val="0"/>
                <w:szCs w:val="23"/>
              </w:rPr>
              <w:t xml:space="preserve"> If an asset remains in use longer than its estimated useful life, it shall be retained in the property accountability or management system, as well as in the accounting records, and the record shall reflect both its recorded cost and accumulated depreciation until its disposition.</w:t>
            </w:r>
          </w:p>
        </w:tc>
        <w:tc>
          <w:tcPr>
            <w:tcW w:w="1710" w:type="dxa"/>
            <w:shd w:val="clear" w:color="auto" w:fill="FFFFFF" w:themeFill="background1"/>
          </w:tcPr>
          <w:p w14:paraId="267134A9" w14:textId="2C4E47BD" w:rsidR="00587A87" w:rsidRPr="00020E5A" w:rsidRDefault="00D766AD" w:rsidP="00587A8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Cs w:val="23"/>
              </w:rPr>
            </w:pPr>
            <w:r w:rsidRPr="00020E5A">
              <w:rPr>
                <w:rFonts w:asciiTheme="minorHAnsi" w:hAnsiTheme="minorHAnsi"/>
                <w:szCs w:val="23"/>
              </w:rPr>
              <w:t>Unclear</w:t>
            </w:r>
          </w:p>
        </w:tc>
        <w:tc>
          <w:tcPr>
            <w:tcW w:w="1800" w:type="dxa"/>
            <w:shd w:val="clear" w:color="auto" w:fill="FFFFFF" w:themeFill="background1"/>
          </w:tcPr>
          <w:p w14:paraId="5FFDFC1A" w14:textId="69695B57" w:rsidR="00587A87" w:rsidRPr="00020E5A" w:rsidRDefault="00D766AD" w:rsidP="00587A8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Cs w:val="23"/>
              </w:rPr>
            </w:pPr>
            <w:r w:rsidRPr="00020E5A">
              <w:rPr>
                <w:rFonts w:asciiTheme="minorHAnsi" w:hAnsiTheme="minorHAnsi"/>
                <w:szCs w:val="23"/>
              </w:rPr>
              <w:t>Unclear</w:t>
            </w:r>
          </w:p>
        </w:tc>
        <w:tc>
          <w:tcPr>
            <w:tcW w:w="1800" w:type="dxa"/>
            <w:shd w:val="clear" w:color="auto" w:fill="FFFFFF" w:themeFill="background1"/>
          </w:tcPr>
          <w:p w14:paraId="2DBD60F1" w14:textId="5BD8E27F" w:rsidR="00587A87" w:rsidRPr="00020E5A" w:rsidRDefault="00D766AD" w:rsidP="00587A8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Cs w:val="23"/>
              </w:rPr>
            </w:pPr>
            <w:r w:rsidRPr="00020E5A">
              <w:rPr>
                <w:rFonts w:asciiTheme="minorHAnsi" w:hAnsiTheme="minorHAnsi"/>
                <w:szCs w:val="23"/>
              </w:rPr>
              <w:t>Unclear</w:t>
            </w:r>
          </w:p>
        </w:tc>
        <w:tc>
          <w:tcPr>
            <w:tcW w:w="1872" w:type="dxa"/>
            <w:shd w:val="clear" w:color="auto" w:fill="FFFFFF" w:themeFill="background1"/>
          </w:tcPr>
          <w:p w14:paraId="553CBBD1" w14:textId="05AEA8D1" w:rsidR="00587A87" w:rsidRPr="00020E5A" w:rsidRDefault="00D766AD" w:rsidP="00D766A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Cs w:val="23"/>
              </w:rPr>
            </w:pPr>
            <w:r w:rsidRPr="00020E5A">
              <w:rPr>
                <w:rFonts w:asciiTheme="minorHAnsi" w:hAnsiTheme="minorHAnsi"/>
                <w:szCs w:val="23"/>
              </w:rPr>
              <w:t>Unclear</w:t>
            </w:r>
          </w:p>
        </w:tc>
      </w:tr>
      <w:tr w:rsidR="00527903" w:rsidRPr="00655FDE" w14:paraId="65911FF3" w14:textId="77777777" w:rsidTr="004F1C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88" w:type="dxa"/>
            <w:shd w:val="clear" w:color="auto" w:fill="C0C0C0"/>
          </w:tcPr>
          <w:p w14:paraId="4018AC28" w14:textId="05E1F18B" w:rsidR="0036739E" w:rsidRPr="00020E5A" w:rsidRDefault="00527903" w:rsidP="0036739E">
            <w:pPr>
              <w:rPr>
                <w:rFonts w:asciiTheme="minorHAnsi" w:hAnsiTheme="minorHAnsi"/>
                <w:b w:val="0"/>
                <w:szCs w:val="23"/>
              </w:rPr>
            </w:pPr>
            <w:r w:rsidRPr="00020E5A">
              <w:rPr>
                <w:rFonts w:asciiTheme="minorHAnsi" w:hAnsiTheme="minorHAnsi"/>
                <w:bCs w:val="0"/>
                <w:szCs w:val="23"/>
              </w:rPr>
              <w:t>FMR Volume 13</w:t>
            </w:r>
            <w:r w:rsidR="00836ADD" w:rsidRPr="00020E5A">
              <w:rPr>
                <w:rFonts w:asciiTheme="minorHAnsi" w:hAnsiTheme="minorHAnsi"/>
                <w:bCs w:val="0"/>
                <w:szCs w:val="23"/>
              </w:rPr>
              <w:t>, Chapter 3</w:t>
            </w:r>
            <w:r w:rsidR="009947AB">
              <w:rPr>
                <w:rFonts w:asciiTheme="minorHAnsi" w:hAnsiTheme="minorHAnsi"/>
                <w:bCs w:val="0"/>
                <w:szCs w:val="23"/>
              </w:rPr>
              <w:t>,</w:t>
            </w:r>
            <w:r w:rsidR="0036739E" w:rsidRPr="00020E5A">
              <w:rPr>
                <w:rFonts w:asciiTheme="minorHAnsi" w:hAnsiTheme="minorHAnsi" w:cs="Times New Roman"/>
                <w:color w:val="000000"/>
                <w:szCs w:val="23"/>
              </w:rPr>
              <w:t xml:space="preserve"> </w:t>
            </w:r>
            <w:r w:rsidR="00804885" w:rsidRPr="00020E5A">
              <w:rPr>
                <w:rFonts w:asciiTheme="minorHAnsi" w:hAnsiTheme="minorHAnsi" w:cs="Times New Roman"/>
                <w:color w:val="000000"/>
                <w:szCs w:val="23"/>
              </w:rPr>
              <w:t>03030</w:t>
            </w:r>
            <w:r w:rsidR="00A66021">
              <w:rPr>
                <w:rFonts w:asciiTheme="minorHAnsi" w:hAnsiTheme="minorHAnsi" w:cs="Times New Roman"/>
                <w:color w:val="000000"/>
                <w:szCs w:val="23"/>
              </w:rPr>
              <w:t>6</w:t>
            </w:r>
            <w:r w:rsidR="00804885" w:rsidRPr="00020E5A">
              <w:rPr>
                <w:rFonts w:asciiTheme="minorHAnsi" w:hAnsiTheme="minorHAnsi" w:cs="Times New Roman"/>
                <w:color w:val="000000"/>
                <w:szCs w:val="23"/>
              </w:rPr>
              <w:t xml:space="preserve">. </w:t>
            </w:r>
            <w:r w:rsidR="00A66021">
              <w:rPr>
                <w:rFonts w:asciiTheme="minorHAnsi" w:hAnsiTheme="minorHAnsi" w:cs="Times New Roman"/>
                <w:color w:val="000000"/>
                <w:szCs w:val="23"/>
              </w:rPr>
              <w:t>A. 10. Depreciation:</w:t>
            </w:r>
            <w:r w:rsidR="0036739E" w:rsidRPr="00020E5A">
              <w:rPr>
                <w:rFonts w:asciiTheme="minorHAnsi" w:hAnsiTheme="minorHAnsi"/>
                <w:b w:val="0"/>
                <w:szCs w:val="23"/>
              </w:rPr>
              <w:t xml:space="preserve"> Depreciation accounting distributes the cost or other</w:t>
            </w:r>
            <w:r w:rsidR="00804885" w:rsidRPr="00020E5A">
              <w:rPr>
                <w:rFonts w:asciiTheme="minorHAnsi" w:hAnsiTheme="minorHAnsi"/>
                <w:b w:val="0"/>
                <w:szCs w:val="23"/>
              </w:rPr>
              <w:t xml:space="preserve"> basic </w:t>
            </w:r>
            <w:r w:rsidR="0036739E" w:rsidRPr="00020E5A">
              <w:rPr>
                <w:rFonts w:asciiTheme="minorHAnsi" w:hAnsiTheme="minorHAnsi"/>
                <w:b w:val="0"/>
                <w:szCs w:val="23"/>
              </w:rPr>
              <w:t xml:space="preserve">value of tangible capital assets over the estimated </w:t>
            </w:r>
            <w:r w:rsidR="00804885" w:rsidRPr="00020E5A">
              <w:rPr>
                <w:rFonts w:asciiTheme="minorHAnsi" w:hAnsiTheme="minorHAnsi"/>
                <w:b w:val="0"/>
                <w:szCs w:val="23"/>
              </w:rPr>
              <w:t xml:space="preserve">useful life of such assets in a </w:t>
            </w:r>
            <w:r w:rsidR="0036739E" w:rsidRPr="00020E5A">
              <w:rPr>
                <w:rFonts w:asciiTheme="minorHAnsi" w:hAnsiTheme="minorHAnsi"/>
                <w:b w:val="0"/>
                <w:szCs w:val="23"/>
              </w:rPr>
              <w:t>systematic</w:t>
            </w:r>
            <w:r w:rsidR="00804885" w:rsidRPr="00020E5A">
              <w:rPr>
                <w:rFonts w:asciiTheme="minorHAnsi" w:hAnsiTheme="minorHAnsi"/>
                <w:b w:val="0"/>
                <w:szCs w:val="23"/>
              </w:rPr>
              <w:t xml:space="preserve"> </w:t>
            </w:r>
            <w:r w:rsidR="0036739E" w:rsidRPr="00020E5A">
              <w:rPr>
                <w:rFonts w:asciiTheme="minorHAnsi" w:hAnsiTheme="minorHAnsi"/>
                <w:b w:val="0"/>
                <w:szCs w:val="23"/>
              </w:rPr>
              <w:t>and rational manner. Accounting for d</w:t>
            </w:r>
            <w:r w:rsidR="00804885" w:rsidRPr="00020E5A">
              <w:rPr>
                <w:rFonts w:asciiTheme="minorHAnsi" w:hAnsiTheme="minorHAnsi"/>
                <w:b w:val="0"/>
                <w:szCs w:val="23"/>
              </w:rPr>
              <w:t xml:space="preserve">epreciation as an expense is an </w:t>
            </w:r>
            <w:r w:rsidR="0036739E" w:rsidRPr="00020E5A">
              <w:rPr>
                <w:rFonts w:asciiTheme="minorHAnsi" w:hAnsiTheme="minorHAnsi"/>
                <w:b w:val="0"/>
                <w:szCs w:val="23"/>
              </w:rPr>
              <w:t>integral part of the accrual</w:t>
            </w:r>
            <w:r w:rsidR="00804885" w:rsidRPr="00020E5A">
              <w:rPr>
                <w:rFonts w:asciiTheme="minorHAnsi" w:hAnsiTheme="minorHAnsi"/>
                <w:b w:val="0"/>
                <w:szCs w:val="23"/>
              </w:rPr>
              <w:t xml:space="preserve"> </w:t>
            </w:r>
            <w:r w:rsidR="0036739E" w:rsidRPr="00020E5A">
              <w:rPr>
                <w:rFonts w:asciiTheme="minorHAnsi" w:hAnsiTheme="minorHAnsi"/>
                <w:b w:val="0"/>
                <w:szCs w:val="23"/>
              </w:rPr>
              <w:t>basis of accounting. Accordingly,</w:t>
            </w:r>
            <w:r w:rsidR="00804885" w:rsidRPr="00020E5A">
              <w:rPr>
                <w:rFonts w:asciiTheme="minorHAnsi" w:hAnsiTheme="minorHAnsi"/>
                <w:b w:val="0"/>
                <w:szCs w:val="23"/>
              </w:rPr>
              <w:t xml:space="preserve"> all NAF activities </w:t>
            </w:r>
            <w:r w:rsidR="0036739E" w:rsidRPr="00020E5A">
              <w:rPr>
                <w:rFonts w:asciiTheme="minorHAnsi" w:hAnsiTheme="minorHAnsi"/>
                <w:b w:val="0"/>
                <w:szCs w:val="23"/>
              </w:rPr>
              <w:t>recognize depreciation of their fixed assets.</w:t>
            </w:r>
          </w:p>
          <w:p w14:paraId="1A088193" w14:textId="15BB4D66" w:rsidR="0036739E" w:rsidRPr="00020E5A" w:rsidRDefault="0036739E" w:rsidP="0036739E">
            <w:pPr>
              <w:rPr>
                <w:rFonts w:asciiTheme="minorHAnsi" w:hAnsiTheme="minorHAnsi"/>
                <w:b w:val="0"/>
                <w:szCs w:val="23"/>
              </w:rPr>
            </w:pPr>
            <w:r w:rsidRPr="00020E5A">
              <w:rPr>
                <w:rFonts w:asciiTheme="minorHAnsi" w:hAnsiTheme="minorHAnsi"/>
                <w:b w:val="0"/>
                <w:szCs w:val="23"/>
              </w:rPr>
              <w:t>For NAF capital assets whose titles are transferred</w:t>
            </w:r>
            <w:r w:rsidR="00804885" w:rsidRPr="00020E5A">
              <w:rPr>
                <w:rFonts w:asciiTheme="minorHAnsi" w:hAnsiTheme="minorHAnsi"/>
                <w:b w:val="0"/>
                <w:szCs w:val="23"/>
              </w:rPr>
              <w:t xml:space="preserve"> to APFs, but are still used by </w:t>
            </w:r>
            <w:r w:rsidRPr="00020E5A">
              <w:rPr>
                <w:rFonts w:asciiTheme="minorHAnsi" w:hAnsiTheme="minorHAnsi"/>
                <w:b w:val="0"/>
                <w:szCs w:val="23"/>
              </w:rPr>
              <w:t>the NAFI,</w:t>
            </w:r>
            <w:r w:rsidR="00804885" w:rsidRPr="00020E5A">
              <w:rPr>
                <w:rFonts w:asciiTheme="minorHAnsi" w:hAnsiTheme="minorHAnsi"/>
                <w:b w:val="0"/>
                <w:szCs w:val="23"/>
              </w:rPr>
              <w:t xml:space="preserve"> </w:t>
            </w:r>
            <w:r w:rsidRPr="00020E5A">
              <w:rPr>
                <w:rFonts w:asciiTheme="minorHAnsi" w:hAnsiTheme="minorHAnsi"/>
                <w:b w:val="0"/>
                <w:szCs w:val="23"/>
              </w:rPr>
              <w:t>continue to depreciate these fixed ass</w:t>
            </w:r>
            <w:r w:rsidR="00804885" w:rsidRPr="00020E5A">
              <w:rPr>
                <w:rFonts w:asciiTheme="minorHAnsi" w:hAnsiTheme="minorHAnsi"/>
                <w:b w:val="0"/>
                <w:szCs w:val="23"/>
              </w:rPr>
              <w:t xml:space="preserve">ets on the NAFIs book until the </w:t>
            </w:r>
            <w:r w:rsidRPr="00020E5A">
              <w:rPr>
                <w:rFonts w:asciiTheme="minorHAnsi" w:hAnsiTheme="minorHAnsi"/>
                <w:b w:val="0"/>
                <w:szCs w:val="23"/>
              </w:rPr>
              <w:t>items are fully depreciated.</w:t>
            </w:r>
          </w:p>
          <w:p w14:paraId="001016A7" w14:textId="77777777" w:rsidR="0090285D" w:rsidRPr="00020E5A" w:rsidRDefault="0090285D" w:rsidP="00BF3E1F">
            <w:pPr>
              <w:rPr>
                <w:rFonts w:asciiTheme="minorHAnsi" w:hAnsiTheme="minorHAnsi"/>
                <w:b w:val="0"/>
                <w:szCs w:val="23"/>
              </w:rPr>
            </w:pPr>
          </w:p>
          <w:p w14:paraId="28F3CB8D" w14:textId="284E5042" w:rsidR="0090285D" w:rsidRPr="00020E5A" w:rsidRDefault="0090285D" w:rsidP="00F14AFB">
            <w:pPr>
              <w:rPr>
                <w:rFonts w:asciiTheme="minorHAnsi" w:hAnsiTheme="minorHAnsi"/>
                <w:b w:val="0"/>
                <w:szCs w:val="23"/>
              </w:rPr>
            </w:pPr>
            <w:r w:rsidRPr="00020E5A">
              <w:rPr>
                <w:rFonts w:asciiTheme="minorHAnsi" w:hAnsiTheme="minorHAnsi"/>
                <w:bCs w:val="0"/>
                <w:szCs w:val="23"/>
              </w:rPr>
              <w:t xml:space="preserve">FMR Volume 13, Chapter 3: </w:t>
            </w:r>
            <w:r w:rsidRPr="00020E5A">
              <w:rPr>
                <w:rFonts w:asciiTheme="minorHAnsi" w:hAnsiTheme="minorHAnsi" w:cs="Times New Roman"/>
                <w:color w:val="000000"/>
                <w:szCs w:val="23"/>
              </w:rPr>
              <w:t xml:space="preserve"> 03030</w:t>
            </w:r>
            <w:r w:rsidR="00A66021">
              <w:rPr>
                <w:rFonts w:asciiTheme="minorHAnsi" w:hAnsiTheme="minorHAnsi" w:cs="Times New Roman"/>
                <w:color w:val="000000"/>
                <w:szCs w:val="23"/>
              </w:rPr>
              <w:t>6. A</w:t>
            </w:r>
            <w:r w:rsidRPr="00020E5A">
              <w:rPr>
                <w:rFonts w:asciiTheme="minorHAnsi" w:hAnsiTheme="minorHAnsi"/>
                <w:szCs w:val="23"/>
              </w:rPr>
              <w:t>.</w:t>
            </w:r>
            <w:r w:rsidR="00A66021">
              <w:rPr>
                <w:rFonts w:asciiTheme="minorHAnsi" w:hAnsiTheme="minorHAnsi"/>
                <w:szCs w:val="23"/>
              </w:rPr>
              <w:t xml:space="preserve"> 4. APF Titled Fixed Assets:</w:t>
            </w:r>
            <w:r w:rsidRPr="00020E5A">
              <w:rPr>
                <w:rFonts w:asciiTheme="minorHAnsi" w:hAnsiTheme="minorHAnsi"/>
                <w:b w:val="0"/>
                <w:szCs w:val="23"/>
              </w:rPr>
              <w:t xml:space="preserve"> An aspect of NAF accounting is that some assets, particularly buildings, are purchased using NAF</w:t>
            </w:r>
            <w:r w:rsidR="00A66021">
              <w:rPr>
                <w:rFonts w:asciiTheme="minorHAnsi" w:hAnsiTheme="minorHAnsi"/>
                <w:b w:val="0"/>
                <w:szCs w:val="23"/>
              </w:rPr>
              <w:t>s</w:t>
            </w:r>
            <w:r w:rsidRPr="00020E5A">
              <w:rPr>
                <w:rFonts w:asciiTheme="minorHAnsi" w:hAnsiTheme="minorHAnsi"/>
                <w:b w:val="0"/>
                <w:szCs w:val="23"/>
              </w:rPr>
              <w:t xml:space="preserve"> and the NAFI has exclusive use, but the title rests with the Government. NAF procured property or facilities may be transferred to APF for maintenance when allowed by the Military Service regulations. Upon receipt of approved documentation from NAFI management, record these items in the NAF property records and general ledger as APF titled </w:t>
            </w:r>
            <w:r w:rsidR="009947AB">
              <w:rPr>
                <w:rFonts w:asciiTheme="minorHAnsi" w:hAnsiTheme="minorHAnsi"/>
                <w:b w:val="0"/>
                <w:szCs w:val="23"/>
              </w:rPr>
              <w:t xml:space="preserve">Fixed Assets </w:t>
            </w:r>
            <w:r w:rsidRPr="00020E5A">
              <w:rPr>
                <w:rFonts w:asciiTheme="minorHAnsi" w:hAnsiTheme="minorHAnsi"/>
                <w:b w:val="0"/>
                <w:szCs w:val="23"/>
              </w:rPr>
              <w:t>(signifies government title) and commence depreciation.</w:t>
            </w:r>
          </w:p>
        </w:tc>
        <w:tc>
          <w:tcPr>
            <w:tcW w:w="1710" w:type="dxa"/>
            <w:shd w:val="clear" w:color="auto" w:fill="C0C0C0"/>
          </w:tcPr>
          <w:p w14:paraId="2BD49F04" w14:textId="4AD748DE" w:rsidR="00527903" w:rsidRPr="00020E5A" w:rsidRDefault="00836ADD" w:rsidP="00BF4937">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FF0000"/>
                <w:szCs w:val="23"/>
              </w:rPr>
            </w:pPr>
            <w:r w:rsidRPr="00020E5A">
              <w:rPr>
                <w:rFonts w:asciiTheme="minorHAnsi" w:hAnsiTheme="minorHAnsi"/>
                <w:szCs w:val="23"/>
              </w:rPr>
              <w:t>Unclear</w:t>
            </w:r>
          </w:p>
        </w:tc>
        <w:tc>
          <w:tcPr>
            <w:tcW w:w="1800" w:type="dxa"/>
            <w:shd w:val="clear" w:color="auto" w:fill="C0C0C0"/>
          </w:tcPr>
          <w:p w14:paraId="75B05349" w14:textId="3DDDA24B" w:rsidR="00527903" w:rsidRPr="00020E5A" w:rsidRDefault="00836ADD" w:rsidP="0065424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Cs w:val="23"/>
              </w:rPr>
            </w:pPr>
            <w:r w:rsidRPr="00020E5A">
              <w:rPr>
                <w:rFonts w:asciiTheme="minorHAnsi" w:hAnsiTheme="minorHAnsi"/>
                <w:szCs w:val="23"/>
              </w:rPr>
              <w:t>Unclear</w:t>
            </w:r>
          </w:p>
          <w:p w14:paraId="16E52F2D" w14:textId="1758660E" w:rsidR="00527903" w:rsidRPr="00020E5A" w:rsidRDefault="00527903" w:rsidP="00654240">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FF0000"/>
                <w:szCs w:val="23"/>
              </w:rPr>
            </w:pPr>
          </w:p>
        </w:tc>
        <w:tc>
          <w:tcPr>
            <w:tcW w:w="1800" w:type="dxa"/>
            <w:shd w:val="clear" w:color="auto" w:fill="C0C0C0"/>
          </w:tcPr>
          <w:p w14:paraId="0D6844DC" w14:textId="52D26225" w:rsidR="00527903" w:rsidRPr="00020E5A" w:rsidRDefault="00836ADD" w:rsidP="00EC70BE">
            <w:pPr>
              <w:cnfStyle w:val="000000100000" w:firstRow="0" w:lastRow="0" w:firstColumn="0" w:lastColumn="0" w:oddVBand="0" w:evenVBand="0" w:oddHBand="1" w:evenHBand="0" w:firstRowFirstColumn="0" w:firstRowLastColumn="0" w:lastRowFirstColumn="0" w:lastRowLastColumn="0"/>
              <w:rPr>
                <w:rFonts w:asciiTheme="minorHAnsi" w:hAnsiTheme="minorHAnsi"/>
                <w:szCs w:val="23"/>
              </w:rPr>
            </w:pPr>
            <w:r w:rsidRPr="00020E5A">
              <w:rPr>
                <w:rFonts w:asciiTheme="minorHAnsi" w:hAnsiTheme="minorHAnsi"/>
                <w:szCs w:val="23"/>
              </w:rPr>
              <w:t>Unclear</w:t>
            </w:r>
          </w:p>
        </w:tc>
        <w:tc>
          <w:tcPr>
            <w:tcW w:w="1872" w:type="dxa"/>
            <w:shd w:val="clear" w:color="auto" w:fill="C0C0C0"/>
          </w:tcPr>
          <w:p w14:paraId="05E97D15" w14:textId="45E91A85" w:rsidR="00996945" w:rsidRPr="00020E5A" w:rsidRDefault="00836ADD" w:rsidP="0065424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3"/>
              </w:rPr>
            </w:pPr>
            <w:r w:rsidRPr="00020E5A">
              <w:rPr>
                <w:rFonts w:asciiTheme="minorHAnsi" w:hAnsiTheme="minorHAnsi"/>
                <w:szCs w:val="23"/>
              </w:rPr>
              <w:t>Unclear</w:t>
            </w:r>
          </w:p>
          <w:p w14:paraId="5C8B91B4" w14:textId="77777777" w:rsidR="00415486" w:rsidRPr="00020E5A" w:rsidRDefault="00415486" w:rsidP="0065424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3"/>
              </w:rPr>
            </w:pPr>
          </w:p>
          <w:p w14:paraId="2BBC7835" w14:textId="77777777" w:rsidR="00415486" w:rsidRPr="00020E5A" w:rsidRDefault="00415486" w:rsidP="0065424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3"/>
              </w:rPr>
            </w:pPr>
          </w:p>
          <w:p w14:paraId="631B6F51" w14:textId="77777777" w:rsidR="00415486" w:rsidRPr="00020E5A" w:rsidRDefault="00415486" w:rsidP="0065424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3"/>
              </w:rPr>
            </w:pPr>
          </w:p>
          <w:p w14:paraId="3B1E33F1" w14:textId="77777777" w:rsidR="00415486" w:rsidRPr="00020E5A" w:rsidRDefault="00415486" w:rsidP="0065424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3"/>
              </w:rPr>
            </w:pPr>
          </w:p>
          <w:p w14:paraId="6505B250" w14:textId="77777777" w:rsidR="00527903" w:rsidRPr="00020E5A" w:rsidRDefault="00527903" w:rsidP="0065424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3"/>
              </w:rPr>
            </w:pPr>
          </w:p>
          <w:p w14:paraId="43D81C4C" w14:textId="77777777" w:rsidR="00527903" w:rsidRPr="00020E5A" w:rsidRDefault="00527903" w:rsidP="00654240">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FF0000"/>
                <w:szCs w:val="23"/>
              </w:rPr>
            </w:pPr>
          </w:p>
          <w:p w14:paraId="15B54127" w14:textId="41D78F23" w:rsidR="00527903" w:rsidRPr="00020E5A" w:rsidRDefault="00527903" w:rsidP="00654240">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FF0000"/>
                <w:szCs w:val="23"/>
              </w:rPr>
            </w:pPr>
          </w:p>
        </w:tc>
      </w:tr>
      <w:tr w:rsidR="00527903" w:rsidRPr="00655FDE" w14:paraId="250F7CC1" w14:textId="77777777" w:rsidTr="004F1CE6">
        <w:trPr>
          <w:cnfStyle w:val="000000010000" w:firstRow="0" w:lastRow="0" w:firstColumn="0" w:lastColumn="0" w:oddVBand="0" w:evenVBand="0" w:oddHBand="0" w:evenHBand="1" w:firstRowFirstColumn="0" w:firstRowLastColumn="0" w:lastRowFirstColumn="0" w:lastRowLastColumn="0"/>
          <w:trHeight w:val="2750"/>
          <w:jc w:val="center"/>
        </w:trPr>
        <w:tc>
          <w:tcPr>
            <w:cnfStyle w:val="001000000000" w:firstRow="0" w:lastRow="0" w:firstColumn="1" w:lastColumn="0" w:oddVBand="0" w:evenVBand="0" w:oddHBand="0" w:evenHBand="0" w:firstRowFirstColumn="0" w:firstRowLastColumn="0" w:lastRowFirstColumn="0" w:lastRowLastColumn="0"/>
            <w:tcW w:w="7488" w:type="dxa"/>
            <w:shd w:val="clear" w:color="auto" w:fill="auto"/>
          </w:tcPr>
          <w:p w14:paraId="336F6E1B" w14:textId="213C0004" w:rsidR="00D766AD" w:rsidRPr="00020E5A" w:rsidRDefault="00684A95" w:rsidP="00D766AD">
            <w:pPr>
              <w:rPr>
                <w:rFonts w:asciiTheme="minorHAnsi" w:hAnsiTheme="minorHAnsi"/>
                <w:b w:val="0"/>
                <w:szCs w:val="23"/>
                <w:lang w:val="en"/>
              </w:rPr>
            </w:pPr>
            <w:r w:rsidRPr="00020E5A">
              <w:rPr>
                <w:rFonts w:asciiTheme="minorHAnsi" w:hAnsiTheme="minorHAnsi"/>
                <w:bCs w:val="0"/>
                <w:szCs w:val="23"/>
              </w:rPr>
              <w:lastRenderedPageBreak/>
              <w:t xml:space="preserve">GAAP: </w:t>
            </w:r>
            <w:r w:rsidR="00D766AD" w:rsidRPr="00020E5A">
              <w:rPr>
                <w:rFonts w:asciiTheme="minorHAnsi" w:hAnsiTheme="minorHAnsi"/>
                <w:bCs w:val="0"/>
                <w:szCs w:val="23"/>
              </w:rPr>
              <w:t xml:space="preserve">360 Property, Plant, and Equipment. Fully Depreciated Assets. </w:t>
            </w:r>
            <w:r w:rsidR="00D766AD" w:rsidRPr="00020E5A">
              <w:rPr>
                <w:rFonts w:asciiTheme="minorHAnsi" w:hAnsiTheme="minorHAnsi"/>
                <w:b w:val="0"/>
                <w:szCs w:val="23"/>
                <w:lang w:val="en"/>
              </w:rPr>
              <w:t xml:space="preserve">Since the gross cost of property shown in the balance sheet is intended to include all property in service, </w:t>
            </w:r>
            <w:r w:rsidR="00D766AD" w:rsidRPr="00020E5A">
              <w:rPr>
                <w:rFonts w:asciiTheme="minorHAnsi" w:hAnsiTheme="minorHAnsi"/>
                <w:szCs w:val="23"/>
                <w:u w:val="single"/>
                <w:lang w:val="en"/>
              </w:rPr>
              <w:t xml:space="preserve">the cost of </w:t>
            </w:r>
            <w:bookmarkStart w:id="1" w:name="3AF0F2A08C797507862575AC006A7046-wkhl2"/>
            <w:bookmarkEnd w:id="1"/>
            <w:r w:rsidR="00D766AD" w:rsidRPr="00020E5A">
              <w:rPr>
                <w:rFonts w:asciiTheme="minorHAnsi" w:hAnsiTheme="minorHAnsi"/>
                <w:szCs w:val="23"/>
                <w:u w:val="single"/>
                <w:lang w:val="en"/>
              </w:rPr>
              <w:t>fully depreciated assets remaining in service and the related accumulated depreciation ordinarily should not be removed from the accounts</w:t>
            </w:r>
            <w:r w:rsidR="00D766AD" w:rsidRPr="00020E5A">
              <w:rPr>
                <w:rFonts w:asciiTheme="minorHAnsi" w:hAnsiTheme="minorHAnsi"/>
                <w:szCs w:val="23"/>
                <w:lang w:val="en"/>
              </w:rPr>
              <w:t xml:space="preserve">. </w:t>
            </w:r>
            <w:r w:rsidR="00D766AD" w:rsidRPr="00020E5A">
              <w:rPr>
                <w:rFonts w:asciiTheme="minorHAnsi" w:hAnsiTheme="minorHAnsi"/>
                <w:b w:val="0"/>
                <w:szCs w:val="23"/>
                <w:lang w:val="en"/>
              </w:rPr>
              <w:t xml:space="preserve">However, if retirements are not recorded because detailed property records are not maintained, as is generally the case for small tools, dies, and similar items, or for other reasons, it is desirable to remove the estimated cost of fully depreciated assets and the related depreciation from the accounts rather than to allow the gross amounts to increase indefinitely. </w:t>
            </w:r>
          </w:p>
          <w:p w14:paraId="54024C1B" w14:textId="01152F97" w:rsidR="00CA6BB6" w:rsidRPr="00020E5A" w:rsidRDefault="00D766AD" w:rsidP="00D766AD">
            <w:pPr>
              <w:rPr>
                <w:rFonts w:asciiTheme="minorHAnsi" w:hAnsiTheme="minorHAnsi"/>
                <w:b w:val="0"/>
                <w:szCs w:val="23"/>
                <w:lang w:val="en"/>
              </w:rPr>
            </w:pPr>
            <w:r w:rsidRPr="00020E5A">
              <w:rPr>
                <w:rFonts w:asciiTheme="minorHAnsi" w:hAnsiTheme="minorHAnsi"/>
                <w:szCs w:val="23"/>
                <w:u w:val="single"/>
                <w:lang w:val="en"/>
              </w:rPr>
              <w:t xml:space="preserve">The amount of </w:t>
            </w:r>
            <w:bookmarkStart w:id="2" w:name="3AF0F2A08C797507862575AC006A7046-wkhl3"/>
            <w:bookmarkEnd w:id="2"/>
            <w:r w:rsidRPr="00020E5A">
              <w:rPr>
                <w:rFonts w:asciiTheme="minorHAnsi" w:hAnsiTheme="minorHAnsi"/>
                <w:szCs w:val="23"/>
                <w:u w:val="single"/>
                <w:lang w:val="en"/>
              </w:rPr>
              <w:t>fully depreciated assets need not be disclose</w:t>
            </w:r>
            <w:r w:rsidRPr="00020E5A">
              <w:rPr>
                <w:rFonts w:asciiTheme="minorHAnsi" w:hAnsiTheme="minorHAnsi"/>
                <w:b w:val="0"/>
                <w:szCs w:val="23"/>
                <w:lang w:val="en"/>
              </w:rPr>
              <w:t xml:space="preserve">d. If such disclosures are made, they should not imply that prior depreciation has been excessive when, as is frequently the case, the remaining utility of the fully depreciated assets may be minimal. </w:t>
            </w:r>
          </w:p>
        </w:tc>
        <w:tc>
          <w:tcPr>
            <w:tcW w:w="1710" w:type="dxa"/>
            <w:shd w:val="clear" w:color="auto" w:fill="auto"/>
          </w:tcPr>
          <w:p w14:paraId="48225699" w14:textId="258BB390" w:rsidR="00D766AD" w:rsidRPr="00020E5A" w:rsidRDefault="00D766AD" w:rsidP="00CF0580">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3"/>
              </w:rPr>
            </w:pPr>
            <w:r w:rsidRPr="00020E5A">
              <w:rPr>
                <w:rFonts w:asciiTheme="minorHAnsi" w:hAnsiTheme="minorHAnsi"/>
                <w:color w:val="000000" w:themeColor="text1"/>
                <w:szCs w:val="23"/>
              </w:rPr>
              <w:t>Unclear</w:t>
            </w:r>
          </w:p>
          <w:p w14:paraId="772E974D" w14:textId="07C335F4" w:rsidR="00527903" w:rsidRPr="00020E5A" w:rsidRDefault="00527903" w:rsidP="00527903">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Cs w:val="23"/>
              </w:rPr>
            </w:pPr>
          </w:p>
        </w:tc>
        <w:tc>
          <w:tcPr>
            <w:tcW w:w="1800" w:type="dxa"/>
            <w:shd w:val="clear" w:color="auto" w:fill="auto"/>
          </w:tcPr>
          <w:p w14:paraId="1C46BA82" w14:textId="77777777" w:rsidR="00D766AD" w:rsidRPr="00020E5A" w:rsidRDefault="00D766AD" w:rsidP="00D766A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3"/>
              </w:rPr>
            </w:pPr>
            <w:r w:rsidRPr="00020E5A">
              <w:rPr>
                <w:rFonts w:asciiTheme="minorHAnsi" w:hAnsiTheme="minorHAnsi"/>
                <w:color w:val="000000" w:themeColor="text1"/>
                <w:szCs w:val="23"/>
              </w:rPr>
              <w:t>Unclear</w:t>
            </w:r>
          </w:p>
          <w:p w14:paraId="516F499A" w14:textId="1B940BB4" w:rsidR="00527903" w:rsidRPr="00020E5A" w:rsidRDefault="00527903" w:rsidP="00527903">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Cs w:val="23"/>
              </w:rPr>
            </w:pPr>
          </w:p>
        </w:tc>
        <w:tc>
          <w:tcPr>
            <w:tcW w:w="1800" w:type="dxa"/>
            <w:shd w:val="clear" w:color="auto" w:fill="auto"/>
          </w:tcPr>
          <w:p w14:paraId="778EB6B6" w14:textId="77777777" w:rsidR="00D766AD" w:rsidRPr="00020E5A" w:rsidRDefault="00D766AD" w:rsidP="00D766A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3"/>
              </w:rPr>
            </w:pPr>
            <w:r w:rsidRPr="00020E5A">
              <w:rPr>
                <w:rFonts w:asciiTheme="minorHAnsi" w:hAnsiTheme="minorHAnsi"/>
                <w:color w:val="000000" w:themeColor="text1"/>
                <w:szCs w:val="23"/>
              </w:rPr>
              <w:t>Unclear</w:t>
            </w:r>
          </w:p>
          <w:p w14:paraId="356770B0" w14:textId="2648558E" w:rsidR="00527903" w:rsidRPr="00020E5A" w:rsidRDefault="00527903" w:rsidP="00527903">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Cs w:val="23"/>
              </w:rPr>
            </w:pPr>
          </w:p>
        </w:tc>
        <w:tc>
          <w:tcPr>
            <w:tcW w:w="1872" w:type="dxa"/>
            <w:shd w:val="clear" w:color="auto" w:fill="auto"/>
          </w:tcPr>
          <w:p w14:paraId="6EC70925" w14:textId="77777777" w:rsidR="00D766AD" w:rsidRPr="00020E5A" w:rsidRDefault="00D766AD" w:rsidP="00D766A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3"/>
              </w:rPr>
            </w:pPr>
            <w:r w:rsidRPr="00020E5A">
              <w:rPr>
                <w:rFonts w:asciiTheme="minorHAnsi" w:hAnsiTheme="minorHAnsi"/>
                <w:color w:val="000000" w:themeColor="text1"/>
                <w:szCs w:val="23"/>
              </w:rPr>
              <w:t>Unclear</w:t>
            </w:r>
          </w:p>
          <w:p w14:paraId="5C5ADE50" w14:textId="5C628665" w:rsidR="00527903" w:rsidRPr="00020E5A" w:rsidRDefault="00527903" w:rsidP="00527903">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Cs w:val="23"/>
              </w:rPr>
            </w:pPr>
          </w:p>
        </w:tc>
      </w:tr>
      <w:tr w:rsidR="00467281" w:rsidRPr="00655FDE" w14:paraId="61AB6A7E" w14:textId="77777777" w:rsidTr="005D0010">
        <w:trPr>
          <w:cnfStyle w:val="000000100000" w:firstRow="0" w:lastRow="0" w:firstColumn="0" w:lastColumn="0" w:oddVBand="0" w:evenVBand="0" w:oddHBand="1" w:evenHBand="0" w:firstRowFirstColumn="0" w:firstRowLastColumn="0" w:lastRowFirstColumn="0" w:lastRowLastColumn="0"/>
          <w:trHeight w:val="2095"/>
          <w:jc w:val="center"/>
        </w:trPr>
        <w:tc>
          <w:tcPr>
            <w:cnfStyle w:val="001000000000" w:firstRow="0" w:lastRow="0" w:firstColumn="1" w:lastColumn="0" w:oddVBand="0" w:evenVBand="0" w:oddHBand="0" w:evenHBand="0" w:firstRowFirstColumn="0" w:firstRowLastColumn="0" w:lastRowFirstColumn="0" w:lastRowLastColumn="0"/>
            <w:tcW w:w="7488" w:type="dxa"/>
            <w:shd w:val="clear" w:color="auto" w:fill="C0C0C0"/>
          </w:tcPr>
          <w:p w14:paraId="5E31BBD9" w14:textId="6E22D3C6" w:rsidR="00467281" w:rsidRPr="00020E5A" w:rsidRDefault="00562501" w:rsidP="00C60E41">
            <w:pPr>
              <w:autoSpaceDE w:val="0"/>
              <w:autoSpaceDN w:val="0"/>
              <w:adjustRightInd w:val="0"/>
              <w:rPr>
                <w:rFonts w:asciiTheme="minorHAnsi" w:hAnsiTheme="minorHAnsi"/>
                <w:b w:val="0"/>
                <w:szCs w:val="23"/>
              </w:rPr>
            </w:pPr>
            <w:r w:rsidRPr="00020E5A">
              <w:rPr>
                <w:rFonts w:asciiTheme="minorHAnsi" w:hAnsiTheme="minorHAnsi"/>
                <w:color w:val="000000" w:themeColor="text1"/>
                <w:szCs w:val="23"/>
              </w:rPr>
              <w:t xml:space="preserve">Industry Practice:  </w:t>
            </w:r>
            <w:r w:rsidRPr="00020E5A">
              <w:rPr>
                <w:rFonts w:asciiTheme="minorHAnsi" w:hAnsiTheme="minorHAnsi"/>
                <w:b w:val="0"/>
                <w:color w:val="000000" w:themeColor="text1"/>
                <w:szCs w:val="23"/>
              </w:rPr>
              <w:t>Fully depreciated assets are reported at cost on the Property, Plant and Equipment section of the balance sheet. The related accumulated depreciated is also reported in this section. These amounts will continue to be reported on the balance sheet until the entity disposes of the assets either through sale or retirement.</w:t>
            </w:r>
            <w:r w:rsidR="00C60E41" w:rsidRPr="00020E5A">
              <w:rPr>
                <w:rFonts w:asciiTheme="minorHAnsi" w:hAnsiTheme="minorHAnsi"/>
                <w:b w:val="0"/>
                <w:color w:val="000000" w:themeColor="text1"/>
                <w:szCs w:val="23"/>
              </w:rPr>
              <w:t xml:space="preserve"> It is fairly unusual for an entity to continue to use a fully-depreciated asset; generally, the useful life is extended for assets with utility beyond their original estimate and depreciation is adjusted accordingly. </w:t>
            </w:r>
          </w:p>
        </w:tc>
        <w:tc>
          <w:tcPr>
            <w:tcW w:w="1710" w:type="dxa"/>
            <w:shd w:val="clear" w:color="auto" w:fill="C0C0C0"/>
          </w:tcPr>
          <w:p w14:paraId="35005577" w14:textId="24CF62EA" w:rsidR="00467281" w:rsidRPr="00020E5A" w:rsidRDefault="00562501" w:rsidP="005D001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3"/>
              </w:rPr>
            </w:pPr>
            <w:r w:rsidRPr="00020E5A">
              <w:rPr>
                <w:rFonts w:asciiTheme="minorHAnsi" w:hAnsiTheme="minorHAnsi"/>
                <w:color w:val="000000" w:themeColor="text1"/>
                <w:szCs w:val="23"/>
              </w:rPr>
              <w:t>Unclear</w:t>
            </w:r>
          </w:p>
        </w:tc>
        <w:tc>
          <w:tcPr>
            <w:tcW w:w="1800" w:type="dxa"/>
            <w:shd w:val="clear" w:color="auto" w:fill="C0C0C0"/>
          </w:tcPr>
          <w:p w14:paraId="68DB83B4" w14:textId="43126ED6" w:rsidR="003B314A" w:rsidRPr="00020E5A" w:rsidRDefault="00562501" w:rsidP="005D001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3"/>
              </w:rPr>
            </w:pPr>
            <w:r w:rsidRPr="00020E5A">
              <w:rPr>
                <w:rFonts w:asciiTheme="minorHAnsi" w:hAnsiTheme="minorHAnsi"/>
                <w:color w:val="000000" w:themeColor="text1"/>
                <w:szCs w:val="23"/>
              </w:rPr>
              <w:t>Unclear</w:t>
            </w:r>
          </w:p>
        </w:tc>
        <w:tc>
          <w:tcPr>
            <w:tcW w:w="1800" w:type="dxa"/>
            <w:shd w:val="clear" w:color="auto" w:fill="C0C0C0"/>
          </w:tcPr>
          <w:p w14:paraId="4858898D" w14:textId="3532DD03" w:rsidR="003B314A" w:rsidRPr="00020E5A" w:rsidRDefault="00562501" w:rsidP="005D001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3"/>
              </w:rPr>
            </w:pPr>
            <w:r w:rsidRPr="00020E5A">
              <w:rPr>
                <w:rFonts w:asciiTheme="minorHAnsi" w:hAnsiTheme="minorHAnsi"/>
                <w:color w:val="000000" w:themeColor="text1"/>
                <w:szCs w:val="23"/>
              </w:rPr>
              <w:t>Unclear</w:t>
            </w:r>
          </w:p>
        </w:tc>
        <w:tc>
          <w:tcPr>
            <w:tcW w:w="1872" w:type="dxa"/>
            <w:shd w:val="clear" w:color="auto" w:fill="C0C0C0"/>
          </w:tcPr>
          <w:p w14:paraId="07A1B50D" w14:textId="7B558AB0" w:rsidR="00467281" w:rsidRPr="00020E5A" w:rsidRDefault="00562501" w:rsidP="005D001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3"/>
              </w:rPr>
            </w:pPr>
            <w:r w:rsidRPr="00020E5A">
              <w:rPr>
                <w:rFonts w:asciiTheme="minorHAnsi" w:hAnsiTheme="minorHAnsi"/>
                <w:color w:val="000000" w:themeColor="text1"/>
                <w:szCs w:val="23"/>
              </w:rPr>
              <w:t>Unclear</w:t>
            </w:r>
          </w:p>
        </w:tc>
      </w:tr>
    </w:tbl>
    <w:p w14:paraId="2B7B16A4" w14:textId="77777777" w:rsidR="00207664" w:rsidRDefault="00207664" w:rsidP="00207664">
      <w:pPr>
        <w:pStyle w:val="Heading1"/>
        <w:rPr>
          <w:sz w:val="24"/>
        </w:rPr>
      </w:pPr>
    </w:p>
    <w:p w14:paraId="2C2060DB" w14:textId="77777777" w:rsidR="00207664" w:rsidRDefault="00207664" w:rsidP="005D0010">
      <w:pPr>
        <w:pStyle w:val="Heading1"/>
        <w:tabs>
          <w:tab w:val="left" w:pos="6675"/>
        </w:tabs>
        <w:spacing w:line="240" w:lineRule="auto"/>
        <w:ind w:left="-2160" w:firstLine="187"/>
        <w:rPr>
          <w:rFonts w:ascii="Garamond" w:hAnsi="Garamond"/>
          <w:bCs w:val="0"/>
          <w:color w:val="auto"/>
          <w:kern w:val="0"/>
          <w:sz w:val="24"/>
          <w:szCs w:val="20"/>
        </w:rPr>
      </w:pPr>
      <w:r>
        <w:rPr>
          <w:sz w:val="24"/>
        </w:rPr>
        <w:t>Discussion</w:t>
      </w:r>
      <w:r w:rsidRPr="007B3038">
        <w:rPr>
          <w:rFonts w:ascii="Garamond" w:hAnsi="Garamond"/>
          <w:bCs w:val="0"/>
          <w:color w:val="auto"/>
          <w:kern w:val="0"/>
          <w:sz w:val="24"/>
          <w:szCs w:val="20"/>
        </w:rPr>
        <w:t xml:space="preserve"> </w:t>
      </w:r>
    </w:p>
    <w:p w14:paraId="15AEB90E" w14:textId="7F5089E9" w:rsidR="007E498B" w:rsidRPr="00020E5A" w:rsidRDefault="00562501" w:rsidP="00020E5A">
      <w:pPr>
        <w:autoSpaceDE w:val="0"/>
        <w:autoSpaceDN w:val="0"/>
        <w:adjustRightInd w:val="0"/>
        <w:ind w:left="-806"/>
        <w:rPr>
          <w:rFonts w:asciiTheme="minorHAnsi" w:hAnsiTheme="minorHAnsi"/>
          <w:szCs w:val="23"/>
        </w:rPr>
      </w:pPr>
      <w:r w:rsidRPr="00020E5A">
        <w:rPr>
          <w:color w:val="000000" w:themeColor="text1"/>
        </w:rPr>
        <w:t xml:space="preserve">Based on current guidance, buildings that are fully depreciated should be carried on the balance sheet until the assets are disposed of either through sale or retirement. </w:t>
      </w:r>
      <w:r w:rsidR="007E498B" w:rsidRPr="00020E5A">
        <w:rPr>
          <w:color w:val="000000" w:themeColor="text1"/>
        </w:rPr>
        <w:t>DoDI 1015.15 states that the asset shall be retained on the accounting records to include both the recorded cost and accumulated depreciation until its disposition. This treatment is in line with GAAP and industry accounting treatment of assets that are fully depreciated. FMR further includes the treatment for</w:t>
      </w:r>
      <w:r w:rsidR="007E498B" w:rsidRPr="00020E5A">
        <w:rPr>
          <w:b/>
          <w:color w:val="000000" w:themeColor="text1"/>
        </w:rPr>
        <w:t xml:space="preserve"> </w:t>
      </w:r>
      <w:r w:rsidR="007E498B" w:rsidRPr="00020E5A">
        <w:rPr>
          <w:color w:val="000000" w:themeColor="text1"/>
        </w:rPr>
        <w:t>NAF capital assets whose titles are transferred to APFs, but are still used by the NAFI. In this case, continue to depreciate these fixed assets on the NAFIs book until the items are fully depreciated.</w:t>
      </w:r>
    </w:p>
    <w:p w14:paraId="782052F7" w14:textId="33C5C68C" w:rsidR="00244CA7" w:rsidRPr="007D16BF" w:rsidRDefault="0024087C" w:rsidP="00207664">
      <w:pPr>
        <w:ind w:left="-810"/>
        <w:rPr>
          <w:sz w:val="24"/>
        </w:rPr>
      </w:pPr>
      <w:r w:rsidRPr="007D16BF">
        <w:rPr>
          <w:sz w:val="24"/>
        </w:rPr>
        <w:t xml:space="preserve"> </w:t>
      </w:r>
    </w:p>
    <w:p w14:paraId="42E3C01A" w14:textId="77777777" w:rsidR="00207664" w:rsidRDefault="00207664" w:rsidP="00207664">
      <w:pPr>
        <w:pStyle w:val="Heading1"/>
        <w:tabs>
          <w:tab w:val="left" w:pos="6675"/>
        </w:tabs>
        <w:ind w:left="-2160" w:firstLine="180"/>
        <w:rPr>
          <w:sz w:val="24"/>
        </w:rPr>
      </w:pPr>
      <w:r>
        <w:rPr>
          <w:sz w:val="24"/>
        </w:rPr>
        <w:t>Recommendation</w:t>
      </w:r>
    </w:p>
    <w:p w14:paraId="3F564E33" w14:textId="27393F1A" w:rsidR="00264FFC" w:rsidRPr="00020E5A" w:rsidRDefault="00C60E41" w:rsidP="00264FFC">
      <w:pPr>
        <w:ind w:left="-810"/>
      </w:pPr>
      <w:r w:rsidRPr="00020E5A">
        <w:t xml:space="preserve">We recommend the Services include </w:t>
      </w:r>
      <w:r w:rsidR="007E498B" w:rsidRPr="00020E5A">
        <w:t>fully depreciated buildings and asse</w:t>
      </w:r>
      <w:r w:rsidRPr="00020E5A">
        <w:t>ts in the financial statements until</w:t>
      </w:r>
      <w:r w:rsidR="007E498B" w:rsidRPr="00020E5A">
        <w:t xml:space="preserve"> the asset is disposed of either through a sale or retirement. Both the cost of the asset and related accumulated depreciation is to be included in the accounting records. </w:t>
      </w:r>
    </w:p>
    <w:p w14:paraId="3AB794C4" w14:textId="77777777" w:rsidR="00264FFC" w:rsidRPr="00020E5A" w:rsidRDefault="00264FFC" w:rsidP="00264FFC">
      <w:pPr>
        <w:ind w:left="-810"/>
      </w:pPr>
    </w:p>
    <w:p w14:paraId="5F02F7E9" w14:textId="6D40D7CF" w:rsidR="003E168E" w:rsidRPr="00020E5A" w:rsidRDefault="00020E5A" w:rsidP="00264FFC">
      <w:pPr>
        <w:ind w:left="-810"/>
      </w:pPr>
      <w:r>
        <w:lastRenderedPageBreak/>
        <w:t>This policy would include</w:t>
      </w:r>
      <w:r w:rsidR="0090285D" w:rsidRPr="00020E5A">
        <w:t xml:space="preserve"> </w:t>
      </w:r>
      <w:r w:rsidR="007E498B" w:rsidRPr="00020E5A">
        <w:t>asset</w:t>
      </w:r>
      <w:r>
        <w:t>s</w:t>
      </w:r>
      <w:r w:rsidR="007E498B" w:rsidRPr="00020E5A">
        <w:t xml:space="preserve"> </w:t>
      </w:r>
      <w:r w:rsidR="0090285D" w:rsidRPr="00020E5A">
        <w:t xml:space="preserve">purchased using </w:t>
      </w:r>
      <w:r w:rsidR="007E498B" w:rsidRPr="00020E5A">
        <w:t xml:space="preserve">NAF </w:t>
      </w:r>
      <w:r w:rsidR="0090285D" w:rsidRPr="00020E5A">
        <w:t>and the NAFI has exclusive use</w:t>
      </w:r>
      <w:r w:rsidR="00264FFC" w:rsidRPr="00020E5A">
        <w:t>, but the title rests with the Government, the asset should be recorded in the NAF property records and general ledger as Fixed Assets APF titled and commence depreciation. Once fully depreciated, the asset cost and accumulated depreciation remains on the NAF accounting records until the asset is disposed.</w:t>
      </w:r>
      <w:r w:rsidR="00C60E41" w:rsidRPr="00020E5A">
        <w:t xml:space="preserve"> If an APF-titled asset is acquired at zero cost (i.e. with appropriated funds), then it should be reported at the cost to acquire the asset (0 dollars) and reported on the balance sheet until it is disposed of via sale or retirement. </w:t>
      </w:r>
    </w:p>
    <w:p w14:paraId="653B3E8E" w14:textId="77777777" w:rsidR="00C60E41" w:rsidRPr="00020E5A" w:rsidRDefault="00C60E41" w:rsidP="00264FFC">
      <w:pPr>
        <w:ind w:left="-810"/>
      </w:pPr>
    </w:p>
    <w:p w14:paraId="2CDBBAE8" w14:textId="41E3B671" w:rsidR="00C60E41" w:rsidRPr="00264FFC" w:rsidRDefault="00C60E41" w:rsidP="00264FFC">
      <w:pPr>
        <w:ind w:left="-810"/>
        <w:rPr>
          <w:sz w:val="24"/>
        </w:rPr>
      </w:pPr>
      <w:r w:rsidRPr="00020E5A">
        <w:t>FMR Volume 13</w:t>
      </w:r>
      <w:r w:rsidR="00020E5A">
        <w:t>,</w:t>
      </w:r>
      <w:r w:rsidRPr="00020E5A">
        <w:t xml:space="preserve"> </w:t>
      </w:r>
      <w:r w:rsidR="00020E5A" w:rsidRPr="00020E5A">
        <w:rPr>
          <w:rFonts w:asciiTheme="minorHAnsi" w:hAnsiTheme="minorHAnsi"/>
          <w:szCs w:val="23"/>
        </w:rPr>
        <w:t>Chapter 3</w:t>
      </w:r>
      <w:r w:rsidR="00020E5A">
        <w:rPr>
          <w:rFonts w:asciiTheme="minorHAnsi" w:hAnsiTheme="minorHAnsi"/>
          <w:szCs w:val="23"/>
        </w:rPr>
        <w:t xml:space="preserve">, para </w:t>
      </w:r>
      <w:r w:rsidR="00020E5A" w:rsidRPr="00020E5A">
        <w:rPr>
          <w:rFonts w:asciiTheme="minorHAnsi" w:hAnsiTheme="minorHAnsi" w:cs="Times New Roman"/>
          <w:color w:val="000000"/>
          <w:szCs w:val="23"/>
        </w:rPr>
        <w:t>03030</w:t>
      </w:r>
      <w:r w:rsidR="00120CBE">
        <w:rPr>
          <w:rFonts w:asciiTheme="minorHAnsi" w:hAnsiTheme="minorHAnsi" w:cs="Times New Roman"/>
          <w:color w:val="000000"/>
          <w:szCs w:val="23"/>
        </w:rPr>
        <w:t>6</w:t>
      </w:r>
      <w:r w:rsidR="00020E5A">
        <w:rPr>
          <w:rFonts w:asciiTheme="minorHAnsi" w:hAnsiTheme="minorHAnsi" w:cs="Times New Roman"/>
          <w:color w:val="000000"/>
          <w:szCs w:val="23"/>
        </w:rPr>
        <w:t xml:space="preserve"> </w:t>
      </w:r>
      <w:r w:rsidRPr="00020E5A">
        <w:t xml:space="preserve">to </w:t>
      </w:r>
      <w:r w:rsidR="00020E5A">
        <w:t xml:space="preserve">be revised to </w:t>
      </w:r>
      <w:r w:rsidRPr="00020E5A">
        <w:t>specify that fully-depreciated assets which are still in use by the entity are to be reported on the balance sheet until disposed of via sale or retirement in order to be consistent with GAA</w:t>
      </w:r>
      <w:r>
        <w:rPr>
          <w:sz w:val="24"/>
        </w:rPr>
        <w:t xml:space="preserve">P.  </w:t>
      </w:r>
    </w:p>
    <w:p w14:paraId="76B7D018" w14:textId="77777777" w:rsidR="00C96AEB" w:rsidRPr="00C80066" w:rsidRDefault="00C96AEB" w:rsidP="00836241">
      <w:pPr>
        <w:rPr>
          <w:color w:val="000000" w:themeColor="text1"/>
          <w:sz w:val="24"/>
        </w:rPr>
      </w:pPr>
    </w:p>
    <w:p w14:paraId="7A9CC406" w14:textId="77777777" w:rsidR="00207664" w:rsidRDefault="00207664" w:rsidP="005D0010">
      <w:pPr>
        <w:pStyle w:val="Heading1"/>
        <w:tabs>
          <w:tab w:val="left" w:pos="6675"/>
        </w:tabs>
        <w:spacing w:line="240" w:lineRule="auto"/>
        <w:ind w:left="-2160" w:firstLine="187"/>
        <w:rPr>
          <w:sz w:val="24"/>
        </w:rPr>
      </w:pPr>
      <w:r>
        <w:rPr>
          <w:sz w:val="24"/>
        </w:rPr>
        <w:t>Service Concurrence</w:t>
      </w:r>
    </w:p>
    <w:tbl>
      <w:tblPr>
        <w:tblStyle w:val="TableGrid"/>
        <w:tblW w:w="0" w:type="auto"/>
        <w:tblInd w:w="-1173" w:type="dxa"/>
        <w:tblLook w:val="04A0" w:firstRow="1" w:lastRow="0" w:firstColumn="1" w:lastColumn="0" w:noHBand="0" w:noVBand="1"/>
      </w:tblPr>
      <w:tblGrid>
        <w:gridCol w:w="2065"/>
        <w:gridCol w:w="2883"/>
        <w:gridCol w:w="8460"/>
      </w:tblGrid>
      <w:tr w:rsidR="00207664" w14:paraId="4A5944BB" w14:textId="77777777" w:rsidTr="00AA47DB">
        <w:tc>
          <w:tcPr>
            <w:tcW w:w="2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B190939" w14:textId="77777777" w:rsidR="00207664" w:rsidRDefault="00207664" w:rsidP="00BF4937">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Service</w:t>
            </w:r>
          </w:p>
        </w:tc>
        <w:tc>
          <w:tcPr>
            <w:tcW w:w="288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A83B10A" w14:textId="77777777" w:rsidR="00207664" w:rsidRDefault="00207664" w:rsidP="00BF4937">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Concurrence</w:t>
            </w:r>
          </w:p>
        </w:tc>
        <w:tc>
          <w:tcPr>
            <w:tcW w:w="84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2BA4AC" w14:textId="7E74B342" w:rsidR="00207664" w:rsidRDefault="0016459C" w:rsidP="0016459C">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Reason</w:t>
            </w:r>
          </w:p>
        </w:tc>
      </w:tr>
      <w:tr w:rsidR="00207664" w14:paraId="5EADA945" w14:textId="77777777" w:rsidTr="00AA47DB">
        <w:trPr>
          <w:trHeight w:val="534"/>
        </w:trPr>
        <w:tc>
          <w:tcPr>
            <w:tcW w:w="2065" w:type="dxa"/>
            <w:tcBorders>
              <w:top w:val="single" w:sz="4" w:space="0" w:color="auto"/>
              <w:left w:val="single" w:sz="4" w:space="0" w:color="auto"/>
              <w:bottom w:val="single" w:sz="4" w:space="0" w:color="auto"/>
              <w:right w:val="single" w:sz="4" w:space="0" w:color="auto"/>
            </w:tcBorders>
            <w:hideMark/>
          </w:tcPr>
          <w:p w14:paraId="5DAEA980" w14:textId="77777777" w:rsidR="00207664" w:rsidRPr="00020E5A" w:rsidRDefault="00207664" w:rsidP="00BF4937">
            <w:pPr>
              <w:pStyle w:val="Heading1"/>
              <w:tabs>
                <w:tab w:val="left" w:pos="6675"/>
              </w:tabs>
              <w:rPr>
                <w:rFonts w:asciiTheme="minorHAnsi" w:hAnsiTheme="minorHAnsi" w:cstheme="majorHAnsi"/>
                <w:color w:val="auto"/>
                <w:sz w:val="22"/>
              </w:rPr>
            </w:pPr>
            <w:r w:rsidRPr="00020E5A">
              <w:rPr>
                <w:rFonts w:asciiTheme="minorHAnsi" w:hAnsiTheme="minorHAnsi" w:cstheme="majorHAnsi"/>
                <w:color w:val="auto"/>
                <w:sz w:val="22"/>
              </w:rPr>
              <w:t>Air Force</w:t>
            </w:r>
          </w:p>
        </w:tc>
        <w:tc>
          <w:tcPr>
            <w:tcW w:w="2883" w:type="dxa"/>
            <w:tcBorders>
              <w:top w:val="single" w:sz="4" w:space="0" w:color="auto"/>
              <w:left w:val="single" w:sz="4" w:space="0" w:color="auto"/>
              <w:bottom w:val="single" w:sz="4" w:space="0" w:color="auto"/>
              <w:right w:val="single" w:sz="4" w:space="0" w:color="auto"/>
            </w:tcBorders>
          </w:tcPr>
          <w:p w14:paraId="68E56D1C" w14:textId="77777777" w:rsidR="00207664" w:rsidRPr="00AA47DB" w:rsidRDefault="00F35CE9" w:rsidP="00135D79">
            <w:pPr>
              <w:pStyle w:val="Heading1"/>
              <w:tabs>
                <w:tab w:val="left" w:pos="6675"/>
              </w:tabs>
              <w:rPr>
                <w:rFonts w:asciiTheme="minorHAnsi" w:hAnsiTheme="minorHAnsi" w:cstheme="majorHAnsi"/>
                <w:color w:val="000000" w:themeColor="text1"/>
                <w:sz w:val="24"/>
                <w:szCs w:val="24"/>
              </w:rPr>
            </w:pPr>
            <w:r w:rsidRPr="00AA47DB">
              <w:rPr>
                <w:rFonts w:asciiTheme="minorHAnsi" w:hAnsiTheme="minorHAnsi" w:cstheme="majorHAnsi"/>
                <w:color w:val="000000" w:themeColor="text1"/>
                <w:sz w:val="24"/>
                <w:szCs w:val="24"/>
              </w:rPr>
              <w:t>Concurrence in 2014</w:t>
            </w:r>
            <w:r w:rsidR="00AA47DB" w:rsidRPr="00AA47DB">
              <w:rPr>
                <w:rFonts w:asciiTheme="minorHAnsi" w:hAnsiTheme="minorHAnsi" w:cstheme="majorHAnsi"/>
                <w:color w:val="000000" w:themeColor="text1"/>
                <w:sz w:val="24"/>
                <w:szCs w:val="24"/>
              </w:rPr>
              <w:t>.</w:t>
            </w:r>
          </w:p>
          <w:p w14:paraId="10A97F1A" w14:textId="74CAE1EB" w:rsidR="00AA47DB" w:rsidRPr="00AA47DB" w:rsidRDefault="00AA47DB" w:rsidP="00AA47DB">
            <w:pPr>
              <w:pStyle w:val="BodyText"/>
              <w:spacing w:after="0"/>
              <w:rPr>
                <w:b/>
                <w:sz w:val="24"/>
                <w:szCs w:val="24"/>
              </w:rPr>
            </w:pPr>
            <w:r w:rsidRPr="00AA47DB">
              <w:rPr>
                <w:b/>
                <w:sz w:val="24"/>
                <w:szCs w:val="24"/>
              </w:rPr>
              <w:t>Re-concurred 10/19/2018.</w:t>
            </w:r>
          </w:p>
        </w:tc>
        <w:tc>
          <w:tcPr>
            <w:tcW w:w="8460" w:type="dxa"/>
            <w:tcBorders>
              <w:top w:val="single" w:sz="4" w:space="0" w:color="auto"/>
              <w:left w:val="single" w:sz="4" w:space="0" w:color="auto"/>
              <w:bottom w:val="single" w:sz="4" w:space="0" w:color="auto"/>
              <w:right w:val="single" w:sz="4" w:space="0" w:color="auto"/>
            </w:tcBorders>
          </w:tcPr>
          <w:p w14:paraId="517DB5A0" w14:textId="1D100E51" w:rsidR="00207664" w:rsidRPr="00020E5A" w:rsidRDefault="00207664" w:rsidP="00BF4937">
            <w:pPr>
              <w:pStyle w:val="Heading1"/>
              <w:tabs>
                <w:tab w:val="left" w:pos="6675"/>
              </w:tabs>
              <w:rPr>
                <w:rFonts w:asciiTheme="minorHAnsi" w:hAnsiTheme="minorHAnsi" w:cstheme="majorHAnsi"/>
                <w:color w:val="FF0000"/>
                <w:sz w:val="22"/>
              </w:rPr>
            </w:pPr>
          </w:p>
        </w:tc>
      </w:tr>
      <w:tr w:rsidR="00F35CE9" w14:paraId="099E4A5A" w14:textId="77777777" w:rsidTr="00AA47DB">
        <w:trPr>
          <w:trHeight w:val="534"/>
        </w:trPr>
        <w:tc>
          <w:tcPr>
            <w:tcW w:w="2065" w:type="dxa"/>
            <w:tcBorders>
              <w:top w:val="single" w:sz="4" w:space="0" w:color="auto"/>
              <w:left w:val="single" w:sz="4" w:space="0" w:color="auto"/>
              <w:bottom w:val="single" w:sz="4" w:space="0" w:color="auto"/>
              <w:right w:val="single" w:sz="4" w:space="0" w:color="auto"/>
            </w:tcBorders>
            <w:hideMark/>
          </w:tcPr>
          <w:p w14:paraId="4743965B" w14:textId="77777777" w:rsidR="00F35CE9" w:rsidRPr="00020E5A" w:rsidRDefault="00F35CE9" w:rsidP="00F35CE9">
            <w:pPr>
              <w:pStyle w:val="Heading1"/>
              <w:tabs>
                <w:tab w:val="left" w:pos="6675"/>
              </w:tabs>
              <w:rPr>
                <w:rFonts w:asciiTheme="minorHAnsi" w:hAnsiTheme="minorHAnsi" w:cstheme="majorHAnsi"/>
                <w:color w:val="auto"/>
                <w:sz w:val="22"/>
              </w:rPr>
            </w:pPr>
            <w:r w:rsidRPr="00020E5A">
              <w:rPr>
                <w:rFonts w:asciiTheme="minorHAnsi" w:hAnsiTheme="minorHAnsi" w:cstheme="majorHAnsi"/>
                <w:color w:val="auto"/>
                <w:sz w:val="22"/>
              </w:rPr>
              <w:t>Army</w:t>
            </w:r>
          </w:p>
        </w:tc>
        <w:tc>
          <w:tcPr>
            <w:tcW w:w="2883" w:type="dxa"/>
            <w:tcBorders>
              <w:top w:val="single" w:sz="4" w:space="0" w:color="auto"/>
              <w:left w:val="single" w:sz="4" w:space="0" w:color="auto"/>
              <w:bottom w:val="single" w:sz="4" w:space="0" w:color="auto"/>
              <w:right w:val="single" w:sz="4" w:space="0" w:color="auto"/>
            </w:tcBorders>
          </w:tcPr>
          <w:p w14:paraId="7DCDC90E" w14:textId="77777777" w:rsidR="00F35CE9" w:rsidRPr="00AA47DB" w:rsidRDefault="00F35CE9" w:rsidP="00F35CE9">
            <w:pPr>
              <w:pStyle w:val="Heading1"/>
              <w:tabs>
                <w:tab w:val="left" w:pos="6675"/>
              </w:tabs>
              <w:rPr>
                <w:rFonts w:asciiTheme="minorHAnsi" w:hAnsiTheme="minorHAnsi" w:cstheme="majorHAnsi"/>
                <w:color w:val="000000" w:themeColor="text1"/>
                <w:sz w:val="24"/>
                <w:szCs w:val="24"/>
              </w:rPr>
            </w:pPr>
            <w:r w:rsidRPr="00AA47DB">
              <w:rPr>
                <w:rFonts w:asciiTheme="minorHAnsi" w:hAnsiTheme="minorHAnsi" w:cstheme="majorHAnsi"/>
                <w:color w:val="000000" w:themeColor="text1"/>
                <w:sz w:val="24"/>
                <w:szCs w:val="24"/>
              </w:rPr>
              <w:t>Concurrence in 2014</w:t>
            </w:r>
            <w:r w:rsidR="00AA47DB" w:rsidRPr="00AA47DB">
              <w:rPr>
                <w:rFonts w:asciiTheme="minorHAnsi" w:hAnsiTheme="minorHAnsi" w:cstheme="majorHAnsi"/>
                <w:color w:val="000000" w:themeColor="text1"/>
                <w:sz w:val="24"/>
                <w:szCs w:val="24"/>
              </w:rPr>
              <w:t>.</w:t>
            </w:r>
          </w:p>
          <w:p w14:paraId="06EBF62E" w14:textId="31ED37A3" w:rsidR="00AA47DB" w:rsidRPr="00AA47DB" w:rsidRDefault="00AA47DB" w:rsidP="00AA47DB">
            <w:pPr>
              <w:pStyle w:val="BodyText"/>
              <w:spacing w:after="0"/>
              <w:rPr>
                <w:b/>
                <w:sz w:val="24"/>
                <w:szCs w:val="24"/>
              </w:rPr>
            </w:pPr>
            <w:r w:rsidRPr="00AA47DB">
              <w:rPr>
                <w:b/>
                <w:sz w:val="24"/>
                <w:szCs w:val="24"/>
              </w:rPr>
              <w:t>Re-concurred 11/2/2018.</w:t>
            </w:r>
          </w:p>
        </w:tc>
        <w:tc>
          <w:tcPr>
            <w:tcW w:w="8460" w:type="dxa"/>
            <w:tcBorders>
              <w:top w:val="single" w:sz="4" w:space="0" w:color="auto"/>
              <w:left w:val="single" w:sz="4" w:space="0" w:color="auto"/>
              <w:bottom w:val="single" w:sz="4" w:space="0" w:color="auto"/>
              <w:right w:val="single" w:sz="4" w:space="0" w:color="auto"/>
            </w:tcBorders>
          </w:tcPr>
          <w:p w14:paraId="25500360" w14:textId="7C38AAAB" w:rsidR="00F35CE9" w:rsidRPr="00020E5A" w:rsidRDefault="00F35CE9" w:rsidP="00F35CE9">
            <w:pPr>
              <w:pStyle w:val="Heading1"/>
              <w:tabs>
                <w:tab w:val="left" w:pos="6675"/>
              </w:tabs>
              <w:rPr>
                <w:rFonts w:asciiTheme="minorHAnsi" w:hAnsiTheme="minorHAnsi" w:cstheme="majorHAnsi"/>
                <w:color w:val="FF0000"/>
                <w:sz w:val="22"/>
              </w:rPr>
            </w:pPr>
          </w:p>
        </w:tc>
      </w:tr>
      <w:tr w:rsidR="00F35CE9" w14:paraId="6C1C1F0C" w14:textId="77777777" w:rsidTr="00AA47DB">
        <w:trPr>
          <w:trHeight w:val="525"/>
        </w:trPr>
        <w:tc>
          <w:tcPr>
            <w:tcW w:w="2065" w:type="dxa"/>
            <w:tcBorders>
              <w:top w:val="single" w:sz="4" w:space="0" w:color="auto"/>
              <w:left w:val="single" w:sz="4" w:space="0" w:color="auto"/>
              <w:bottom w:val="single" w:sz="4" w:space="0" w:color="auto"/>
              <w:right w:val="single" w:sz="4" w:space="0" w:color="auto"/>
            </w:tcBorders>
            <w:hideMark/>
          </w:tcPr>
          <w:p w14:paraId="18971552" w14:textId="77777777" w:rsidR="00F35CE9" w:rsidRPr="00020E5A" w:rsidRDefault="00F35CE9" w:rsidP="00F35CE9">
            <w:pPr>
              <w:pStyle w:val="Heading1"/>
              <w:tabs>
                <w:tab w:val="left" w:pos="6675"/>
              </w:tabs>
              <w:rPr>
                <w:rFonts w:asciiTheme="minorHAnsi" w:hAnsiTheme="minorHAnsi" w:cstheme="majorHAnsi"/>
                <w:color w:val="auto"/>
                <w:sz w:val="22"/>
              </w:rPr>
            </w:pPr>
            <w:r w:rsidRPr="00020E5A">
              <w:rPr>
                <w:rFonts w:asciiTheme="minorHAnsi" w:hAnsiTheme="minorHAnsi" w:cstheme="majorHAnsi"/>
                <w:color w:val="auto"/>
                <w:sz w:val="22"/>
              </w:rPr>
              <w:t xml:space="preserve">Marines </w:t>
            </w:r>
          </w:p>
        </w:tc>
        <w:tc>
          <w:tcPr>
            <w:tcW w:w="2883" w:type="dxa"/>
            <w:tcBorders>
              <w:top w:val="single" w:sz="4" w:space="0" w:color="auto"/>
              <w:left w:val="single" w:sz="4" w:space="0" w:color="auto"/>
              <w:bottom w:val="single" w:sz="4" w:space="0" w:color="auto"/>
              <w:right w:val="single" w:sz="4" w:space="0" w:color="auto"/>
            </w:tcBorders>
          </w:tcPr>
          <w:p w14:paraId="663A60D1" w14:textId="77777777" w:rsidR="00F35CE9" w:rsidRDefault="00F35CE9" w:rsidP="00F35CE9">
            <w:pPr>
              <w:pStyle w:val="Heading1"/>
              <w:tabs>
                <w:tab w:val="left" w:pos="6675"/>
              </w:tabs>
              <w:rPr>
                <w:rFonts w:asciiTheme="minorHAnsi" w:hAnsiTheme="minorHAnsi" w:cstheme="majorHAnsi"/>
                <w:color w:val="000000" w:themeColor="text1"/>
                <w:sz w:val="24"/>
                <w:szCs w:val="24"/>
              </w:rPr>
            </w:pPr>
            <w:r w:rsidRPr="00AA47DB">
              <w:rPr>
                <w:rFonts w:asciiTheme="minorHAnsi" w:hAnsiTheme="minorHAnsi" w:cstheme="majorHAnsi"/>
                <w:color w:val="000000" w:themeColor="text1"/>
                <w:sz w:val="24"/>
                <w:szCs w:val="24"/>
              </w:rPr>
              <w:t>Concurrence in 2014</w:t>
            </w:r>
            <w:r w:rsidR="00AA47DB">
              <w:rPr>
                <w:rFonts w:asciiTheme="minorHAnsi" w:hAnsiTheme="minorHAnsi" w:cstheme="majorHAnsi"/>
                <w:color w:val="000000" w:themeColor="text1"/>
                <w:sz w:val="24"/>
                <w:szCs w:val="24"/>
              </w:rPr>
              <w:t>.</w:t>
            </w:r>
          </w:p>
          <w:p w14:paraId="7719AE39" w14:textId="455A49B4" w:rsidR="00AA47DB" w:rsidRPr="00AA47DB" w:rsidRDefault="00AA47DB" w:rsidP="00AA47DB">
            <w:pPr>
              <w:pStyle w:val="BodyText"/>
              <w:spacing w:after="0"/>
              <w:rPr>
                <w:b/>
                <w:sz w:val="24"/>
                <w:szCs w:val="24"/>
              </w:rPr>
            </w:pPr>
            <w:r w:rsidRPr="00AA47DB">
              <w:rPr>
                <w:b/>
                <w:sz w:val="24"/>
                <w:szCs w:val="24"/>
              </w:rPr>
              <w:t>Re-concurred 10/31/2018.</w:t>
            </w:r>
          </w:p>
        </w:tc>
        <w:tc>
          <w:tcPr>
            <w:tcW w:w="8460" w:type="dxa"/>
            <w:tcBorders>
              <w:top w:val="single" w:sz="4" w:space="0" w:color="auto"/>
              <w:left w:val="single" w:sz="4" w:space="0" w:color="auto"/>
              <w:bottom w:val="single" w:sz="4" w:space="0" w:color="auto"/>
              <w:right w:val="single" w:sz="4" w:space="0" w:color="auto"/>
            </w:tcBorders>
          </w:tcPr>
          <w:p w14:paraId="2F3DACD4" w14:textId="1712D8F9" w:rsidR="00F35CE9" w:rsidRPr="00020E5A" w:rsidRDefault="00F35CE9" w:rsidP="00F35CE9">
            <w:pPr>
              <w:pStyle w:val="Heading1"/>
              <w:tabs>
                <w:tab w:val="left" w:pos="6675"/>
              </w:tabs>
              <w:rPr>
                <w:rFonts w:asciiTheme="minorHAnsi" w:hAnsiTheme="minorHAnsi" w:cstheme="majorHAnsi"/>
                <w:color w:val="FF0000"/>
                <w:sz w:val="22"/>
              </w:rPr>
            </w:pPr>
          </w:p>
        </w:tc>
      </w:tr>
      <w:tr w:rsidR="00F35CE9" w14:paraId="52B048EF" w14:textId="77777777" w:rsidTr="00AA47DB">
        <w:trPr>
          <w:trHeight w:val="534"/>
        </w:trPr>
        <w:tc>
          <w:tcPr>
            <w:tcW w:w="2065" w:type="dxa"/>
            <w:tcBorders>
              <w:top w:val="single" w:sz="4" w:space="0" w:color="auto"/>
              <w:left w:val="single" w:sz="4" w:space="0" w:color="auto"/>
              <w:bottom w:val="single" w:sz="4" w:space="0" w:color="auto"/>
              <w:right w:val="single" w:sz="4" w:space="0" w:color="auto"/>
            </w:tcBorders>
            <w:hideMark/>
          </w:tcPr>
          <w:p w14:paraId="0DE00DFE" w14:textId="77777777" w:rsidR="00F35CE9" w:rsidRPr="00020E5A" w:rsidRDefault="00F35CE9" w:rsidP="00F35CE9">
            <w:pPr>
              <w:pStyle w:val="Heading1"/>
              <w:tabs>
                <w:tab w:val="left" w:pos="6675"/>
              </w:tabs>
              <w:rPr>
                <w:rFonts w:asciiTheme="minorHAnsi" w:hAnsiTheme="minorHAnsi" w:cstheme="majorHAnsi"/>
                <w:color w:val="auto"/>
                <w:sz w:val="22"/>
              </w:rPr>
            </w:pPr>
            <w:r w:rsidRPr="00020E5A">
              <w:rPr>
                <w:rFonts w:asciiTheme="minorHAnsi" w:hAnsiTheme="minorHAnsi" w:cstheme="majorHAnsi"/>
                <w:color w:val="auto"/>
                <w:sz w:val="22"/>
              </w:rPr>
              <w:t>Navy</w:t>
            </w:r>
          </w:p>
        </w:tc>
        <w:tc>
          <w:tcPr>
            <w:tcW w:w="2883" w:type="dxa"/>
            <w:tcBorders>
              <w:top w:val="single" w:sz="4" w:space="0" w:color="auto"/>
              <w:left w:val="single" w:sz="4" w:space="0" w:color="auto"/>
              <w:bottom w:val="single" w:sz="4" w:space="0" w:color="auto"/>
              <w:right w:val="single" w:sz="4" w:space="0" w:color="auto"/>
            </w:tcBorders>
          </w:tcPr>
          <w:p w14:paraId="52875316" w14:textId="77777777" w:rsidR="00F35CE9" w:rsidRDefault="00F35CE9" w:rsidP="00F35CE9">
            <w:pPr>
              <w:pStyle w:val="Heading1"/>
              <w:tabs>
                <w:tab w:val="left" w:pos="6675"/>
              </w:tabs>
              <w:rPr>
                <w:rFonts w:asciiTheme="minorHAnsi" w:hAnsiTheme="minorHAnsi" w:cstheme="majorHAnsi"/>
                <w:color w:val="000000" w:themeColor="text1"/>
                <w:sz w:val="24"/>
                <w:szCs w:val="24"/>
              </w:rPr>
            </w:pPr>
            <w:r w:rsidRPr="00AA47DB">
              <w:rPr>
                <w:rFonts w:asciiTheme="minorHAnsi" w:hAnsiTheme="minorHAnsi" w:cstheme="majorHAnsi"/>
                <w:color w:val="000000" w:themeColor="text1"/>
                <w:sz w:val="24"/>
                <w:szCs w:val="24"/>
              </w:rPr>
              <w:t>Concurrence in 2014</w:t>
            </w:r>
            <w:r w:rsidR="00AA47DB">
              <w:rPr>
                <w:rFonts w:asciiTheme="minorHAnsi" w:hAnsiTheme="minorHAnsi" w:cstheme="majorHAnsi"/>
                <w:color w:val="000000" w:themeColor="text1"/>
                <w:sz w:val="24"/>
                <w:szCs w:val="24"/>
              </w:rPr>
              <w:t>.</w:t>
            </w:r>
          </w:p>
          <w:p w14:paraId="67857BD9" w14:textId="7334F0F0" w:rsidR="00AA47DB" w:rsidRPr="00AA47DB" w:rsidRDefault="00AA47DB" w:rsidP="00AA47DB">
            <w:pPr>
              <w:pStyle w:val="BodyText"/>
              <w:spacing w:after="0"/>
              <w:rPr>
                <w:b/>
                <w:sz w:val="24"/>
                <w:szCs w:val="24"/>
              </w:rPr>
            </w:pPr>
            <w:r w:rsidRPr="00AA47DB">
              <w:rPr>
                <w:b/>
                <w:sz w:val="24"/>
                <w:szCs w:val="24"/>
              </w:rPr>
              <w:t>Re-concurred 11/2/2018.</w:t>
            </w:r>
          </w:p>
        </w:tc>
        <w:tc>
          <w:tcPr>
            <w:tcW w:w="8460" w:type="dxa"/>
            <w:tcBorders>
              <w:top w:val="single" w:sz="4" w:space="0" w:color="auto"/>
              <w:left w:val="single" w:sz="4" w:space="0" w:color="auto"/>
              <w:bottom w:val="single" w:sz="4" w:space="0" w:color="auto"/>
              <w:right w:val="single" w:sz="4" w:space="0" w:color="auto"/>
            </w:tcBorders>
          </w:tcPr>
          <w:p w14:paraId="06ED24FA" w14:textId="049E1D04" w:rsidR="00F35CE9" w:rsidRPr="00020E5A" w:rsidRDefault="00F35CE9" w:rsidP="00F35CE9">
            <w:pPr>
              <w:pStyle w:val="Heading1"/>
              <w:tabs>
                <w:tab w:val="left" w:pos="6675"/>
              </w:tabs>
              <w:rPr>
                <w:rFonts w:asciiTheme="minorHAnsi" w:hAnsiTheme="minorHAnsi" w:cstheme="majorHAnsi"/>
                <w:color w:val="auto"/>
                <w:sz w:val="22"/>
              </w:rPr>
            </w:pPr>
          </w:p>
        </w:tc>
      </w:tr>
    </w:tbl>
    <w:p w14:paraId="4FEAE8EB" w14:textId="77777777" w:rsidR="00207664" w:rsidRDefault="00207664" w:rsidP="00207664">
      <w:pPr>
        <w:pStyle w:val="Heading1"/>
        <w:tabs>
          <w:tab w:val="left" w:pos="6675"/>
        </w:tabs>
        <w:ind w:left="-2160" w:firstLine="180"/>
        <w:rPr>
          <w:sz w:val="24"/>
        </w:rPr>
      </w:pPr>
    </w:p>
    <w:p w14:paraId="666E32E1" w14:textId="77777777" w:rsidR="00AB0BCF" w:rsidRDefault="00AB0BCF" w:rsidP="00AB0BCF">
      <w:pPr>
        <w:pStyle w:val="Heading1"/>
        <w:tabs>
          <w:tab w:val="left" w:pos="6675"/>
        </w:tabs>
        <w:ind w:left="-2160" w:firstLine="180"/>
        <w:rPr>
          <w:sz w:val="24"/>
        </w:rPr>
      </w:pPr>
      <w:r>
        <w:rPr>
          <w:sz w:val="24"/>
        </w:rPr>
        <w:t>USD(P&amp;R)/MC&amp;FP Disposition</w:t>
      </w:r>
    </w:p>
    <w:p w14:paraId="1928DF86" w14:textId="51A8ACEF" w:rsidR="00AA47DB" w:rsidRPr="00932F0A" w:rsidRDefault="00AA47DB" w:rsidP="00AA47DB">
      <w:pPr>
        <w:pStyle w:val="ChapterTitle"/>
        <w:rPr>
          <w:rFonts w:asciiTheme="minorHAnsi" w:hAnsiTheme="minorHAnsi"/>
          <w:sz w:val="24"/>
        </w:rPr>
      </w:pPr>
      <w:r w:rsidRPr="00932F0A">
        <w:rPr>
          <w:rFonts w:asciiTheme="minorHAnsi" w:hAnsiTheme="minorHAnsi"/>
          <w:sz w:val="24"/>
        </w:rPr>
        <w:t xml:space="preserve">No </w:t>
      </w:r>
      <w:r>
        <w:rPr>
          <w:rFonts w:asciiTheme="minorHAnsi" w:hAnsiTheme="minorHAnsi"/>
          <w:sz w:val="24"/>
        </w:rPr>
        <w:t>further action.</w:t>
      </w:r>
    </w:p>
    <w:p w14:paraId="7F35D28E" w14:textId="2DE968F5" w:rsidR="00AB0BCF" w:rsidRDefault="00AB0BCF" w:rsidP="00AB0BCF">
      <w:pPr>
        <w:rPr>
          <w:sz w:val="24"/>
        </w:rPr>
      </w:pPr>
    </w:p>
    <w:p w14:paraId="4EDB9B74" w14:textId="77777777" w:rsidR="00AB0BCF" w:rsidRDefault="00AB0BCF" w:rsidP="00AB0BCF">
      <w:pPr>
        <w:ind w:left="-1980"/>
        <w:rPr>
          <w:rFonts w:ascii="Arial Black" w:hAnsi="Arial Black"/>
          <w:b/>
          <w:color w:val="4F2D7F"/>
          <w:sz w:val="24"/>
        </w:rPr>
      </w:pPr>
      <w:r>
        <w:rPr>
          <w:rFonts w:ascii="Arial Black" w:hAnsi="Arial Black"/>
          <w:b/>
          <w:color w:val="4F2D7F"/>
          <w:sz w:val="24"/>
        </w:rPr>
        <w:t>DFAS Disposition</w:t>
      </w:r>
    </w:p>
    <w:p w14:paraId="3536A45E" w14:textId="1CB0BC6A" w:rsidR="00AA47DB" w:rsidRPr="00932F0A" w:rsidRDefault="00AA47DB" w:rsidP="00AA47DB">
      <w:pPr>
        <w:pStyle w:val="ChapterTitle"/>
        <w:rPr>
          <w:rFonts w:asciiTheme="minorHAnsi" w:hAnsiTheme="minorHAnsi"/>
          <w:sz w:val="24"/>
        </w:rPr>
      </w:pPr>
      <w:r>
        <w:rPr>
          <w:rFonts w:asciiTheme="minorHAnsi" w:hAnsiTheme="minorHAnsi"/>
          <w:sz w:val="24"/>
        </w:rPr>
        <w:t>Revise FMR Volume 13, Chapter 3, para 03030</w:t>
      </w:r>
      <w:r w:rsidR="00120CBE">
        <w:rPr>
          <w:rFonts w:asciiTheme="minorHAnsi" w:hAnsiTheme="minorHAnsi"/>
          <w:sz w:val="24"/>
        </w:rPr>
        <w:t>6</w:t>
      </w:r>
      <w:r>
        <w:rPr>
          <w:rFonts w:asciiTheme="minorHAnsi" w:hAnsiTheme="minorHAnsi"/>
          <w:sz w:val="24"/>
        </w:rPr>
        <w:t>.</w:t>
      </w:r>
    </w:p>
    <w:p w14:paraId="240D825F" w14:textId="0528D44F" w:rsidR="00AB0BCF" w:rsidRPr="007B3038" w:rsidRDefault="00AB0BCF" w:rsidP="00AB0BCF">
      <w:pPr>
        <w:rPr>
          <w:sz w:val="24"/>
        </w:rPr>
      </w:pPr>
      <w:r w:rsidRPr="007B3038">
        <w:rPr>
          <w:sz w:val="24"/>
        </w:rPr>
        <w:t xml:space="preserve">       </w:t>
      </w:r>
    </w:p>
    <w:p w14:paraId="354F4EB4" w14:textId="77777777" w:rsidR="00AB0BCF" w:rsidRDefault="00AB0BCF" w:rsidP="00AB0BCF">
      <w:pPr>
        <w:pStyle w:val="Heading1"/>
        <w:tabs>
          <w:tab w:val="left" w:pos="6675"/>
        </w:tabs>
        <w:ind w:left="-2160" w:firstLine="180"/>
        <w:rPr>
          <w:sz w:val="24"/>
        </w:rPr>
      </w:pPr>
      <w:r>
        <w:rPr>
          <w:sz w:val="24"/>
        </w:rPr>
        <w:t>Forward to</w:t>
      </w:r>
      <w:r w:rsidRPr="007B3038">
        <w:rPr>
          <w:sz w:val="24"/>
        </w:rPr>
        <w:t xml:space="preserve"> DoD</w:t>
      </w:r>
      <w:r>
        <w:rPr>
          <w:sz w:val="24"/>
        </w:rPr>
        <w:t>IG</w:t>
      </w:r>
      <w:r w:rsidRPr="007B3038">
        <w:rPr>
          <w:sz w:val="24"/>
        </w:rPr>
        <w:t>?</w:t>
      </w:r>
    </w:p>
    <w:p w14:paraId="06A25D7A" w14:textId="77777777" w:rsidR="00AA47DB" w:rsidRPr="00932F0A" w:rsidRDefault="00AA47DB" w:rsidP="00AA47DB">
      <w:pPr>
        <w:pStyle w:val="ChapterTitle"/>
        <w:rPr>
          <w:rFonts w:asciiTheme="minorHAnsi" w:hAnsiTheme="minorHAnsi"/>
          <w:sz w:val="24"/>
        </w:rPr>
      </w:pPr>
      <w:r w:rsidRPr="00932F0A">
        <w:rPr>
          <w:rFonts w:asciiTheme="minorHAnsi" w:hAnsiTheme="minorHAnsi"/>
          <w:sz w:val="24"/>
        </w:rPr>
        <w:t>No DoDIG equities</w:t>
      </w:r>
      <w:r>
        <w:rPr>
          <w:rFonts w:asciiTheme="minorHAnsi" w:hAnsiTheme="minorHAnsi"/>
          <w:sz w:val="24"/>
        </w:rPr>
        <w:t>.</w:t>
      </w:r>
    </w:p>
    <w:p w14:paraId="3952A2AD" w14:textId="1D038438" w:rsidR="00207664" w:rsidRPr="00F47C97" w:rsidRDefault="00207664" w:rsidP="00AA47DB">
      <w:pPr>
        <w:pStyle w:val="Heading1"/>
        <w:tabs>
          <w:tab w:val="left" w:pos="6675"/>
        </w:tabs>
        <w:rPr>
          <w:sz w:val="24"/>
        </w:rPr>
      </w:pPr>
    </w:p>
    <w:p w14:paraId="3237A496" w14:textId="77777777" w:rsidR="00207664" w:rsidRDefault="00207664" w:rsidP="00207664">
      <w:pPr>
        <w:ind w:left="-810"/>
        <w:rPr>
          <w:sz w:val="24"/>
        </w:rPr>
      </w:pPr>
    </w:p>
    <w:sectPr w:rsidR="00207664" w:rsidSect="00BB5F9B">
      <w:headerReference w:type="default" r:id="rId11"/>
      <w:footerReference w:type="default" r:id="rId12"/>
      <w:pgSz w:w="15840" w:h="12240" w:orient="landscape" w:code="1"/>
      <w:pgMar w:top="1985" w:right="821" w:bottom="1138" w:left="2608"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1125B" w14:textId="77777777" w:rsidR="008B43BE" w:rsidRDefault="008B43BE">
      <w:r>
        <w:separator/>
      </w:r>
    </w:p>
  </w:endnote>
  <w:endnote w:type="continuationSeparator" w:id="0">
    <w:p w14:paraId="513736E9" w14:textId="77777777" w:rsidR="008B43BE" w:rsidRDefault="008B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0940"/>
      <w:docPartObj>
        <w:docPartGallery w:val="Page Numbers (Bottom of Page)"/>
        <w:docPartUnique/>
      </w:docPartObj>
    </w:sdtPr>
    <w:sdtEndPr>
      <w:rPr>
        <w:noProof/>
      </w:rPr>
    </w:sdtEndPr>
    <w:sdtContent>
      <w:p w14:paraId="48FADB89" w14:textId="4629E7A9" w:rsidR="00916522" w:rsidRDefault="008968CA" w:rsidP="00916522">
        <w:pPr>
          <w:pStyle w:val="Footer"/>
          <w:jc w:val="right"/>
          <w:rPr>
            <w:noProof/>
          </w:rPr>
        </w:pPr>
        <w:r>
          <w:fldChar w:fldCharType="begin"/>
        </w:r>
        <w:r>
          <w:instrText xml:space="preserve"> PAGE   \* MERGEFORMAT </w:instrText>
        </w:r>
        <w:r>
          <w:fldChar w:fldCharType="separate"/>
        </w:r>
        <w:r w:rsidR="00DC2631">
          <w:rPr>
            <w:noProof/>
          </w:rPr>
          <w:t>2</w:t>
        </w:r>
        <w:r>
          <w:rPr>
            <w:noProof/>
          </w:rPr>
          <w:fldChar w:fldCharType="end"/>
        </w:r>
      </w:p>
      <w:p w14:paraId="5AC4E8F7" w14:textId="15E55043" w:rsidR="00834B9A" w:rsidRDefault="00C60E41" w:rsidP="00916522">
        <w:pPr>
          <w:pStyle w:val="Footer"/>
          <w:jc w:val="right"/>
        </w:pPr>
        <w:r>
          <w:rPr>
            <w:noProof/>
          </w:rPr>
          <w:t xml:space="preserve">September </w:t>
        </w:r>
        <w:r w:rsidR="00F35CE9">
          <w:rPr>
            <w:noProof/>
          </w:rPr>
          <w:t>12</w:t>
        </w:r>
        <w:r>
          <w:rPr>
            <w:noProof/>
          </w:rPr>
          <w:t>, 2018</w:t>
        </w:r>
      </w:p>
    </w:sdtContent>
  </w:sdt>
  <w:p w14:paraId="4F2A2F89" w14:textId="77777777" w:rsidR="00834B9A" w:rsidRDefault="00DC2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337A5" w14:textId="77777777" w:rsidR="008B43BE" w:rsidRDefault="008B43BE">
      <w:r>
        <w:separator/>
      </w:r>
    </w:p>
  </w:footnote>
  <w:footnote w:type="continuationSeparator" w:id="0">
    <w:p w14:paraId="0936BF92" w14:textId="77777777" w:rsidR="008B43BE" w:rsidRDefault="008B4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B0C1" w14:textId="77777777" w:rsidR="00611E33" w:rsidRDefault="00611E33" w:rsidP="00684320">
    <w:pPr>
      <w:pStyle w:val="Header"/>
      <w:jc w:val="center"/>
      <w:rPr>
        <w:rFonts w:asciiTheme="minorHAnsi" w:hAnsiTheme="minorHAnsi"/>
        <w:sz w:val="32"/>
      </w:rPr>
    </w:pPr>
    <w:r>
      <w:rPr>
        <w:rFonts w:asciiTheme="minorHAnsi" w:hAnsiTheme="minorHAnsi"/>
        <w:sz w:val="32"/>
      </w:rPr>
      <w:t>NAF Accounting Working Group</w:t>
    </w:r>
  </w:p>
  <w:p w14:paraId="2CDBF98F" w14:textId="42C939C4" w:rsidR="00834B9A" w:rsidRDefault="003B101F" w:rsidP="00684320">
    <w:pPr>
      <w:pStyle w:val="Header"/>
      <w:jc w:val="center"/>
      <w:rPr>
        <w:rFonts w:asciiTheme="minorHAnsi" w:hAnsiTheme="minorHAnsi"/>
        <w:sz w:val="32"/>
      </w:rPr>
    </w:pPr>
    <w:r>
      <w:rPr>
        <w:rFonts w:asciiTheme="minorHAnsi" w:hAnsiTheme="minorHAnsi"/>
        <w:sz w:val="32"/>
      </w:rPr>
      <w:t>Fully Depreciated Buildings</w:t>
    </w:r>
  </w:p>
  <w:p w14:paraId="0E01B5E6" w14:textId="256D9413" w:rsidR="00834B9A" w:rsidRPr="00437683" w:rsidRDefault="00611E33" w:rsidP="00684320">
    <w:pPr>
      <w:pStyle w:val="Header"/>
      <w:jc w:val="center"/>
      <w:rPr>
        <w:rFonts w:asciiTheme="minorHAnsi" w:hAnsiTheme="minorHAnsi"/>
        <w:sz w:val="32"/>
      </w:rPr>
    </w:pPr>
    <w:r>
      <w:rPr>
        <w:rFonts w:asciiTheme="minorHAnsi" w:hAnsiTheme="minorHAnsi"/>
        <w:sz w:val="32"/>
      </w:rPr>
      <w:t>Position</w:t>
    </w:r>
    <w:r w:rsidR="003B101F">
      <w:rPr>
        <w:rFonts w:asciiTheme="minorHAnsi" w:hAnsiTheme="minorHAnsi"/>
        <w:sz w:val="32"/>
      </w:rPr>
      <w:t xml:space="preserve"> Paper #24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64AC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A4A9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7" w15:restartNumberingAfterBreak="0">
    <w:nsid w:val="FFFFFF83"/>
    <w:multiLevelType w:val="singleLevel"/>
    <w:tmpl w:val="571666CA"/>
    <w:lvl w:ilvl="0">
      <w:start w:val="1"/>
      <w:numFmt w:val="bullet"/>
      <w:lvlText w:val=""/>
      <w:lvlJc w:val="left"/>
      <w:pPr>
        <w:tabs>
          <w:tab w:val="num" w:pos="641"/>
        </w:tabs>
        <w:ind w:left="641" w:hanging="284"/>
      </w:pPr>
      <w:rPr>
        <w:rFonts w:ascii="Symbol" w:hAnsi="Symbol" w:hint="default"/>
        <w:color w:val="632163"/>
      </w:rPr>
    </w:lvl>
  </w:abstractNum>
  <w:abstractNum w:abstractNumId="8" w15:restartNumberingAfterBreak="0">
    <w:nsid w:val="FFFFFF88"/>
    <w:multiLevelType w:val="singleLevel"/>
    <w:tmpl w:val="8C6C7FB2"/>
    <w:lvl w:ilvl="0">
      <w:start w:val="1"/>
      <w:numFmt w:val="decimal"/>
      <w:lvlText w:val="%1."/>
      <w:lvlJc w:val="left"/>
      <w:pPr>
        <w:tabs>
          <w:tab w:val="num" w:pos="360"/>
        </w:tabs>
        <w:ind w:left="360" w:hanging="360"/>
      </w:pPr>
    </w:lvl>
  </w:abstractNum>
  <w:abstractNum w:abstractNumId="9" w15:restartNumberingAfterBreak="0">
    <w:nsid w:val="068B23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70171DB"/>
    <w:multiLevelType w:val="hybridMultilevel"/>
    <w:tmpl w:val="9DF2F16A"/>
    <w:lvl w:ilvl="0" w:tplc="A420CAFC">
      <w:start w:val="1"/>
      <w:numFmt w:val="bullet"/>
      <w:lvlText w:val="o"/>
      <w:lvlJc w:val="left"/>
      <w:pPr>
        <w:tabs>
          <w:tab w:val="num" w:pos="907"/>
        </w:tabs>
        <w:ind w:left="907" w:hanging="397"/>
      </w:pPr>
      <w:rPr>
        <w:rFonts w:ascii="Courier New" w:hAnsi="Courier New" w:hint="default"/>
        <w:color w:val="632163"/>
      </w:rPr>
    </w:lvl>
    <w:lvl w:ilvl="1" w:tplc="D89C9A22">
      <w:start w:val="1"/>
      <w:numFmt w:val="bullet"/>
      <w:lvlText w:val="o"/>
      <w:lvlJc w:val="left"/>
      <w:pPr>
        <w:tabs>
          <w:tab w:val="num" w:pos="1077"/>
        </w:tabs>
        <w:ind w:left="1077" w:hanging="397"/>
      </w:pPr>
      <w:rPr>
        <w:rFonts w:ascii="Courier New" w:hAnsi="Courier New" w:hint="default"/>
      </w:rPr>
    </w:lvl>
    <w:lvl w:ilvl="2" w:tplc="AE5EB8C6" w:tentative="1">
      <w:start w:val="1"/>
      <w:numFmt w:val="bullet"/>
      <w:lvlText w:val=""/>
      <w:lvlJc w:val="left"/>
      <w:pPr>
        <w:tabs>
          <w:tab w:val="num" w:pos="2160"/>
        </w:tabs>
        <w:ind w:left="2160" w:hanging="360"/>
      </w:pPr>
      <w:rPr>
        <w:rFonts w:ascii="Wingdings" w:hAnsi="Wingdings" w:hint="default"/>
      </w:rPr>
    </w:lvl>
    <w:lvl w:ilvl="3" w:tplc="223A4E6A" w:tentative="1">
      <w:start w:val="1"/>
      <w:numFmt w:val="bullet"/>
      <w:lvlText w:val=""/>
      <w:lvlJc w:val="left"/>
      <w:pPr>
        <w:tabs>
          <w:tab w:val="num" w:pos="2880"/>
        </w:tabs>
        <w:ind w:left="2880" w:hanging="360"/>
      </w:pPr>
      <w:rPr>
        <w:rFonts w:ascii="Symbol" w:hAnsi="Symbol" w:hint="default"/>
      </w:rPr>
    </w:lvl>
    <w:lvl w:ilvl="4" w:tplc="92506CEC" w:tentative="1">
      <w:start w:val="1"/>
      <w:numFmt w:val="bullet"/>
      <w:lvlText w:val="o"/>
      <w:lvlJc w:val="left"/>
      <w:pPr>
        <w:tabs>
          <w:tab w:val="num" w:pos="3600"/>
        </w:tabs>
        <w:ind w:left="3600" w:hanging="360"/>
      </w:pPr>
      <w:rPr>
        <w:rFonts w:ascii="Courier New" w:hAnsi="Courier New" w:cs="Wingdings" w:hint="default"/>
      </w:rPr>
    </w:lvl>
    <w:lvl w:ilvl="5" w:tplc="2EF4A9E8" w:tentative="1">
      <w:start w:val="1"/>
      <w:numFmt w:val="bullet"/>
      <w:lvlText w:val=""/>
      <w:lvlJc w:val="left"/>
      <w:pPr>
        <w:tabs>
          <w:tab w:val="num" w:pos="4320"/>
        </w:tabs>
        <w:ind w:left="4320" w:hanging="360"/>
      </w:pPr>
      <w:rPr>
        <w:rFonts w:ascii="Wingdings" w:hAnsi="Wingdings" w:hint="default"/>
      </w:rPr>
    </w:lvl>
    <w:lvl w:ilvl="6" w:tplc="A0E283A2" w:tentative="1">
      <w:start w:val="1"/>
      <w:numFmt w:val="bullet"/>
      <w:lvlText w:val=""/>
      <w:lvlJc w:val="left"/>
      <w:pPr>
        <w:tabs>
          <w:tab w:val="num" w:pos="5040"/>
        </w:tabs>
        <w:ind w:left="5040" w:hanging="360"/>
      </w:pPr>
      <w:rPr>
        <w:rFonts w:ascii="Symbol" w:hAnsi="Symbol" w:hint="default"/>
      </w:rPr>
    </w:lvl>
    <w:lvl w:ilvl="7" w:tplc="66E615FE" w:tentative="1">
      <w:start w:val="1"/>
      <w:numFmt w:val="bullet"/>
      <w:lvlText w:val="o"/>
      <w:lvlJc w:val="left"/>
      <w:pPr>
        <w:tabs>
          <w:tab w:val="num" w:pos="5760"/>
        </w:tabs>
        <w:ind w:left="5760" w:hanging="360"/>
      </w:pPr>
      <w:rPr>
        <w:rFonts w:ascii="Courier New" w:hAnsi="Courier New" w:cs="Wingdings" w:hint="default"/>
      </w:rPr>
    </w:lvl>
    <w:lvl w:ilvl="8" w:tplc="0902F1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393AE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E862FC5"/>
    <w:multiLevelType w:val="hybridMultilevel"/>
    <w:tmpl w:val="FF749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1016035"/>
    <w:multiLevelType w:val="multilevel"/>
    <w:tmpl w:val="C2A243C0"/>
    <w:lvl w:ilvl="0">
      <w:start w:val="1"/>
      <w:numFmt w:val="decimal"/>
      <w:isLgl/>
      <w:lvlText w:val="%1."/>
      <w:lvlJc w:val="left"/>
      <w:pPr>
        <w:tabs>
          <w:tab w:val="num" w:pos="397"/>
        </w:tabs>
        <w:ind w:left="397" w:hanging="397"/>
      </w:pPr>
      <w:rPr>
        <w:rFonts w:hint="default"/>
      </w:rPr>
    </w:lvl>
    <w:lvl w:ilvl="1">
      <w:start w:val="1"/>
      <w:numFmt w:val="decimal"/>
      <w:lvlText w:val="%1.%2."/>
      <w:lvlJc w:val="left"/>
      <w:pPr>
        <w:tabs>
          <w:tab w:val="num" w:pos="1021"/>
        </w:tabs>
        <w:ind w:left="1021" w:hanging="624"/>
      </w:pPr>
      <w:rPr>
        <w:rFonts w:hint="default"/>
      </w:rPr>
    </w:lvl>
    <w:lvl w:ilvl="2">
      <w:start w:val="1"/>
      <w:numFmt w:val="decimal"/>
      <w:lvlText w:val="%1.%2.%3."/>
      <w:lvlJc w:val="left"/>
      <w:pPr>
        <w:tabs>
          <w:tab w:val="num" w:pos="1474"/>
        </w:tabs>
        <w:ind w:left="1474" w:hanging="510"/>
      </w:pPr>
      <w:rPr>
        <w:rFonts w:hint="default"/>
      </w:rPr>
    </w:lvl>
    <w:lvl w:ilvl="3">
      <w:start w:val="1"/>
      <w:numFmt w:val="bullet"/>
      <w:lvlText w:val=""/>
      <w:lvlJc w:val="left"/>
      <w:pPr>
        <w:tabs>
          <w:tab w:val="num" w:pos="680"/>
        </w:tabs>
        <w:ind w:left="680" w:hanging="323"/>
      </w:pPr>
      <w:rPr>
        <w:rFonts w:ascii="Symbol" w:hAnsi="Symbol" w:hint="default"/>
      </w:rPr>
    </w:lvl>
    <w:lvl w:ilvl="4">
      <w:start w:val="1"/>
      <w:numFmt w:val="bullet"/>
      <w:lvlRestart w:val="0"/>
      <w:lvlText w:val=""/>
      <w:lvlJc w:val="left"/>
      <w:pPr>
        <w:tabs>
          <w:tab w:val="num" w:pos="680"/>
        </w:tabs>
        <w:ind w:left="680" w:hanging="323"/>
      </w:pPr>
      <w:rPr>
        <w:rFonts w:ascii="Symbol" w:hAnsi="Symbol"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1FE3976"/>
    <w:multiLevelType w:val="multilevel"/>
    <w:tmpl w:val="2EC0E21A"/>
    <w:lvl w:ilvl="0">
      <w:start w:val="1"/>
      <w:numFmt w:val="decimal"/>
      <w:lvlText w:val="%1."/>
      <w:lvlJc w:val="left"/>
      <w:pPr>
        <w:tabs>
          <w:tab w:val="num" w:pos="926"/>
        </w:tabs>
        <w:ind w:left="92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24264FB"/>
    <w:multiLevelType w:val="multilevel"/>
    <w:tmpl w:val="79C604F0"/>
    <w:lvl w:ilvl="0">
      <w:start w:val="1"/>
      <w:numFmt w:val="decimal"/>
      <w:lvlText w:val="%1."/>
      <w:lvlJc w:val="left"/>
      <w:pPr>
        <w:tabs>
          <w:tab w:val="num" w:pos="643"/>
        </w:tabs>
        <w:ind w:left="64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30E7E82"/>
    <w:multiLevelType w:val="hybridMultilevel"/>
    <w:tmpl w:val="8DCC3A70"/>
    <w:lvl w:ilvl="0" w:tplc="9EEAFB3E">
      <w:start w:val="1"/>
      <w:numFmt w:val="bullet"/>
      <w:lvlText w:val=""/>
      <w:lvlJc w:val="left"/>
      <w:pPr>
        <w:tabs>
          <w:tab w:val="num" w:pos="357"/>
        </w:tabs>
        <w:ind w:left="357" w:hanging="357"/>
      </w:pPr>
      <w:rPr>
        <w:rFonts w:ascii="Symbol" w:hAnsi="Symbol" w:hint="default"/>
        <w:color w:val="632163"/>
      </w:rPr>
    </w:lvl>
    <w:lvl w:ilvl="1" w:tplc="1BF8421A" w:tentative="1">
      <w:start w:val="1"/>
      <w:numFmt w:val="bullet"/>
      <w:lvlText w:val="o"/>
      <w:lvlJc w:val="left"/>
      <w:pPr>
        <w:tabs>
          <w:tab w:val="num" w:pos="1440"/>
        </w:tabs>
        <w:ind w:left="1440" w:hanging="360"/>
      </w:pPr>
      <w:rPr>
        <w:rFonts w:ascii="Courier New" w:hAnsi="Courier New" w:cs="Wingdings" w:hint="default"/>
      </w:rPr>
    </w:lvl>
    <w:lvl w:ilvl="2" w:tplc="38CC3FC2" w:tentative="1">
      <w:start w:val="1"/>
      <w:numFmt w:val="bullet"/>
      <w:lvlText w:val=""/>
      <w:lvlJc w:val="left"/>
      <w:pPr>
        <w:tabs>
          <w:tab w:val="num" w:pos="2160"/>
        </w:tabs>
        <w:ind w:left="2160" w:hanging="360"/>
      </w:pPr>
      <w:rPr>
        <w:rFonts w:ascii="Wingdings" w:hAnsi="Wingdings" w:hint="default"/>
      </w:rPr>
    </w:lvl>
    <w:lvl w:ilvl="3" w:tplc="4574DFD4" w:tentative="1">
      <w:start w:val="1"/>
      <w:numFmt w:val="bullet"/>
      <w:lvlText w:val=""/>
      <w:lvlJc w:val="left"/>
      <w:pPr>
        <w:tabs>
          <w:tab w:val="num" w:pos="2880"/>
        </w:tabs>
        <w:ind w:left="2880" w:hanging="360"/>
      </w:pPr>
      <w:rPr>
        <w:rFonts w:ascii="Symbol" w:hAnsi="Symbol" w:hint="default"/>
      </w:rPr>
    </w:lvl>
    <w:lvl w:ilvl="4" w:tplc="8564D340" w:tentative="1">
      <w:start w:val="1"/>
      <w:numFmt w:val="bullet"/>
      <w:lvlText w:val="o"/>
      <w:lvlJc w:val="left"/>
      <w:pPr>
        <w:tabs>
          <w:tab w:val="num" w:pos="3600"/>
        </w:tabs>
        <w:ind w:left="3600" w:hanging="360"/>
      </w:pPr>
      <w:rPr>
        <w:rFonts w:ascii="Courier New" w:hAnsi="Courier New" w:cs="Wingdings" w:hint="default"/>
      </w:rPr>
    </w:lvl>
    <w:lvl w:ilvl="5" w:tplc="B4523E64" w:tentative="1">
      <w:start w:val="1"/>
      <w:numFmt w:val="bullet"/>
      <w:lvlText w:val=""/>
      <w:lvlJc w:val="left"/>
      <w:pPr>
        <w:tabs>
          <w:tab w:val="num" w:pos="4320"/>
        </w:tabs>
        <w:ind w:left="4320" w:hanging="360"/>
      </w:pPr>
      <w:rPr>
        <w:rFonts w:ascii="Wingdings" w:hAnsi="Wingdings" w:hint="default"/>
      </w:rPr>
    </w:lvl>
    <w:lvl w:ilvl="6" w:tplc="CBC860A8" w:tentative="1">
      <w:start w:val="1"/>
      <w:numFmt w:val="bullet"/>
      <w:lvlText w:val=""/>
      <w:lvlJc w:val="left"/>
      <w:pPr>
        <w:tabs>
          <w:tab w:val="num" w:pos="5040"/>
        </w:tabs>
        <w:ind w:left="5040" w:hanging="360"/>
      </w:pPr>
      <w:rPr>
        <w:rFonts w:ascii="Symbol" w:hAnsi="Symbol" w:hint="default"/>
      </w:rPr>
    </w:lvl>
    <w:lvl w:ilvl="7" w:tplc="72221F70" w:tentative="1">
      <w:start w:val="1"/>
      <w:numFmt w:val="bullet"/>
      <w:lvlText w:val="o"/>
      <w:lvlJc w:val="left"/>
      <w:pPr>
        <w:tabs>
          <w:tab w:val="num" w:pos="5760"/>
        </w:tabs>
        <w:ind w:left="5760" w:hanging="360"/>
      </w:pPr>
      <w:rPr>
        <w:rFonts w:ascii="Courier New" w:hAnsi="Courier New" w:cs="Wingdings" w:hint="default"/>
      </w:rPr>
    </w:lvl>
    <w:lvl w:ilvl="8" w:tplc="5B5C458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7E5020B8"/>
    <w:multiLevelType w:val="multilevel"/>
    <w:tmpl w:val="273ECCBE"/>
    <w:lvl w:ilvl="0">
      <w:start w:val="1"/>
      <w:numFmt w:val="decimal"/>
      <w:isLgl/>
      <w:lvlText w:val="%1."/>
      <w:lvlJc w:val="left"/>
      <w:pPr>
        <w:tabs>
          <w:tab w:val="num" w:pos="357"/>
        </w:tabs>
        <w:ind w:left="357" w:hanging="357"/>
      </w:pPr>
    </w:lvl>
    <w:lvl w:ilvl="1">
      <w:start w:val="1"/>
      <w:numFmt w:val="decimal"/>
      <w:isLgl/>
      <w:lvlText w:val="%1.%2."/>
      <w:lvlJc w:val="left"/>
      <w:pPr>
        <w:tabs>
          <w:tab w:val="num" w:pos="964"/>
        </w:tabs>
        <w:ind w:left="964" w:hanging="607"/>
      </w:pPr>
    </w:lvl>
    <w:lvl w:ilvl="2">
      <w:start w:val="1"/>
      <w:numFmt w:val="decimal"/>
      <w:isLgl/>
      <w:lvlText w:val="%1.%2.%3."/>
      <w:lvlJc w:val="left"/>
      <w:pPr>
        <w:tabs>
          <w:tab w:val="num" w:pos="1587"/>
        </w:tabs>
        <w:ind w:left="1587" w:hanging="90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7"/>
  </w:num>
  <w:num w:numId="3">
    <w:abstractNumId w:val="7"/>
  </w:num>
  <w:num w:numId="4">
    <w:abstractNumId w:val="6"/>
  </w:num>
  <w:num w:numId="5">
    <w:abstractNumId w:val="6"/>
  </w:num>
  <w:num w:numId="6">
    <w:abstractNumId w:val="8"/>
  </w:num>
  <w:num w:numId="7">
    <w:abstractNumId w:val="8"/>
  </w:num>
  <w:num w:numId="8">
    <w:abstractNumId w:val="3"/>
  </w:num>
  <w:num w:numId="9">
    <w:abstractNumId w:val="3"/>
  </w:num>
  <w:num w:numId="10">
    <w:abstractNumId w:val="20"/>
  </w:num>
  <w:num w:numId="11">
    <w:abstractNumId w:val="22"/>
  </w:num>
  <w:num w:numId="12">
    <w:abstractNumId w:val="10"/>
  </w:num>
  <w:num w:numId="13">
    <w:abstractNumId w:val="8"/>
  </w:num>
  <w:num w:numId="14">
    <w:abstractNumId w:val="3"/>
  </w:num>
  <w:num w:numId="15">
    <w:abstractNumId w:val="22"/>
  </w:num>
  <w:num w:numId="16">
    <w:abstractNumId w:val="8"/>
  </w:num>
  <w:num w:numId="17">
    <w:abstractNumId w:val="21"/>
  </w:num>
  <w:num w:numId="18">
    <w:abstractNumId w:val="21"/>
  </w:num>
  <w:num w:numId="19">
    <w:abstractNumId w:val="12"/>
  </w:num>
  <w:num w:numId="20">
    <w:abstractNumId w:val="12"/>
  </w:num>
  <w:num w:numId="21">
    <w:abstractNumId w:val="7"/>
  </w:num>
  <w:num w:numId="22">
    <w:abstractNumId w:val="5"/>
  </w:num>
  <w:num w:numId="23">
    <w:abstractNumId w:val="4"/>
  </w:num>
  <w:num w:numId="24">
    <w:abstractNumId w:val="2"/>
  </w:num>
  <w:num w:numId="25">
    <w:abstractNumId w:val="1"/>
  </w:num>
  <w:num w:numId="26">
    <w:abstractNumId w:val="0"/>
  </w:num>
  <w:num w:numId="27">
    <w:abstractNumId w:val="15"/>
  </w:num>
  <w:num w:numId="28">
    <w:abstractNumId w:val="19"/>
  </w:num>
  <w:num w:numId="29">
    <w:abstractNumId w:val="18"/>
  </w:num>
  <w:num w:numId="30">
    <w:abstractNumId w:val="11"/>
  </w:num>
  <w:num w:numId="31">
    <w:abstractNumId w:val="9"/>
  </w:num>
  <w:num w:numId="32">
    <w:abstractNumId w:val="13"/>
  </w:num>
  <w:num w:numId="33">
    <w:abstractNumId w:val="16"/>
  </w:num>
  <w:num w:numId="34">
    <w:abstractNumId w:val="16"/>
  </w:num>
  <w:num w:numId="35">
    <w:abstractNumId w:val="15"/>
  </w:num>
  <w:num w:numId="36">
    <w:abstractNumId w:val="15"/>
  </w:num>
  <w:num w:numId="37">
    <w:abstractNumId w:val="15"/>
  </w:num>
  <w:num w:numId="38">
    <w:abstractNumId w:val="15"/>
  </w:num>
  <w:num w:numId="39">
    <w:abstractNumId w:val="1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5D"/>
    <w:rsid w:val="00004412"/>
    <w:rsid w:val="00007B0A"/>
    <w:rsid w:val="00020E5A"/>
    <w:rsid w:val="00025419"/>
    <w:rsid w:val="00031A55"/>
    <w:rsid w:val="00033BA2"/>
    <w:rsid w:val="00074688"/>
    <w:rsid w:val="000908CD"/>
    <w:rsid w:val="0009111E"/>
    <w:rsid w:val="00095F5B"/>
    <w:rsid w:val="000B6F69"/>
    <w:rsid w:val="000C7B49"/>
    <w:rsid w:val="000D5770"/>
    <w:rsid w:val="000F03B4"/>
    <w:rsid w:val="000F5F92"/>
    <w:rsid w:val="000F700D"/>
    <w:rsid w:val="00107A48"/>
    <w:rsid w:val="00117556"/>
    <w:rsid w:val="00120CBE"/>
    <w:rsid w:val="0012715F"/>
    <w:rsid w:val="00135D79"/>
    <w:rsid w:val="0016459C"/>
    <w:rsid w:val="00170181"/>
    <w:rsid w:val="00181C39"/>
    <w:rsid w:val="0018200C"/>
    <w:rsid w:val="00192F2D"/>
    <w:rsid w:val="00194E79"/>
    <w:rsid w:val="001C718D"/>
    <w:rsid w:val="001E1C48"/>
    <w:rsid w:val="001E2F16"/>
    <w:rsid w:val="001E45B8"/>
    <w:rsid w:val="001E6E0F"/>
    <w:rsid w:val="001E6F57"/>
    <w:rsid w:val="001F4120"/>
    <w:rsid w:val="001F640E"/>
    <w:rsid w:val="00200A58"/>
    <w:rsid w:val="00203F25"/>
    <w:rsid w:val="0020614E"/>
    <w:rsid w:val="00207664"/>
    <w:rsid w:val="002130E9"/>
    <w:rsid w:val="00213D94"/>
    <w:rsid w:val="0022005A"/>
    <w:rsid w:val="0024087C"/>
    <w:rsid w:val="00244CA7"/>
    <w:rsid w:val="00254EC0"/>
    <w:rsid w:val="00254FC0"/>
    <w:rsid w:val="00257D56"/>
    <w:rsid w:val="00264FFC"/>
    <w:rsid w:val="002743F7"/>
    <w:rsid w:val="00281D8A"/>
    <w:rsid w:val="002A11B3"/>
    <w:rsid w:val="002A5C61"/>
    <w:rsid w:val="002C0344"/>
    <w:rsid w:val="002C1F0E"/>
    <w:rsid w:val="002C7327"/>
    <w:rsid w:val="002E0E8B"/>
    <w:rsid w:val="00304632"/>
    <w:rsid w:val="00305C57"/>
    <w:rsid w:val="003427FD"/>
    <w:rsid w:val="00345AF1"/>
    <w:rsid w:val="003571BC"/>
    <w:rsid w:val="0036739E"/>
    <w:rsid w:val="00387144"/>
    <w:rsid w:val="00390152"/>
    <w:rsid w:val="0039141D"/>
    <w:rsid w:val="00393D00"/>
    <w:rsid w:val="003A5365"/>
    <w:rsid w:val="003B0FEE"/>
    <w:rsid w:val="003B101F"/>
    <w:rsid w:val="003B314A"/>
    <w:rsid w:val="003B345C"/>
    <w:rsid w:val="003C58C4"/>
    <w:rsid w:val="003E168E"/>
    <w:rsid w:val="003E7371"/>
    <w:rsid w:val="003F016B"/>
    <w:rsid w:val="00402D6F"/>
    <w:rsid w:val="00410ED6"/>
    <w:rsid w:val="00415486"/>
    <w:rsid w:val="0044428A"/>
    <w:rsid w:val="00457CFA"/>
    <w:rsid w:val="00467281"/>
    <w:rsid w:val="004717AC"/>
    <w:rsid w:val="00471EBF"/>
    <w:rsid w:val="004741A8"/>
    <w:rsid w:val="00481414"/>
    <w:rsid w:val="004A4EB7"/>
    <w:rsid w:val="004B04B3"/>
    <w:rsid w:val="004C0BCF"/>
    <w:rsid w:val="004C13D3"/>
    <w:rsid w:val="004C21C7"/>
    <w:rsid w:val="004C39E6"/>
    <w:rsid w:val="004C4804"/>
    <w:rsid w:val="004D0E22"/>
    <w:rsid w:val="004F084D"/>
    <w:rsid w:val="004F1CE6"/>
    <w:rsid w:val="004F5FC1"/>
    <w:rsid w:val="005056DF"/>
    <w:rsid w:val="00520EF0"/>
    <w:rsid w:val="00527903"/>
    <w:rsid w:val="00562501"/>
    <w:rsid w:val="0056384A"/>
    <w:rsid w:val="00564CFA"/>
    <w:rsid w:val="005856AB"/>
    <w:rsid w:val="00587A87"/>
    <w:rsid w:val="00595A3C"/>
    <w:rsid w:val="005A7F34"/>
    <w:rsid w:val="005B36B4"/>
    <w:rsid w:val="005C7ACF"/>
    <w:rsid w:val="005D0010"/>
    <w:rsid w:val="005D1401"/>
    <w:rsid w:val="005D4A27"/>
    <w:rsid w:val="005D6F96"/>
    <w:rsid w:val="005D7123"/>
    <w:rsid w:val="005D7CF4"/>
    <w:rsid w:val="005E5264"/>
    <w:rsid w:val="005E5854"/>
    <w:rsid w:val="005E6364"/>
    <w:rsid w:val="005F493E"/>
    <w:rsid w:val="005F4E22"/>
    <w:rsid w:val="00604FE9"/>
    <w:rsid w:val="00611E33"/>
    <w:rsid w:val="00614C6D"/>
    <w:rsid w:val="00616FCD"/>
    <w:rsid w:val="00654240"/>
    <w:rsid w:val="0066455D"/>
    <w:rsid w:val="00675B59"/>
    <w:rsid w:val="006805DE"/>
    <w:rsid w:val="00684320"/>
    <w:rsid w:val="00684A95"/>
    <w:rsid w:val="006857B3"/>
    <w:rsid w:val="00686115"/>
    <w:rsid w:val="006A6D8E"/>
    <w:rsid w:val="006C1985"/>
    <w:rsid w:val="006E5BDF"/>
    <w:rsid w:val="006F48D8"/>
    <w:rsid w:val="00714585"/>
    <w:rsid w:val="00714A57"/>
    <w:rsid w:val="0073174E"/>
    <w:rsid w:val="0073674A"/>
    <w:rsid w:val="007409D9"/>
    <w:rsid w:val="00753436"/>
    <w:rsid w:val="00775CD4"/>
    <w:rsid w:val="00780E83"/>
    <w:rsid w:val="00782186"/>
    <w:rsid w:val="00782878"/>
    <w:rsid w:val="00791712"/>
    <w:rsid w:val="00793390"/>
    <w:rsid w:val="007B1005"/>
    <w:rsid w:val="007C4C86"/>
    <w:rsid w:val="007D16BF"/>
    <w:rsid w:val="007D477B"/>
    <w:rsid w:val="007E498B"/>
    <w:rsid w:val="00801103"/>
    <w:rsid w:val="00804885"/>
    <w:rsid w:val="0080621D"/>
    <w:rsid w:val="00811031"/>
    <w:rsid w:val="00814CA5"/>
    <w:rsid w:val="008155A7"/>
    <w:rsid w:val="0082211C"/>
    <w:rsid w:val="0082535E"/>
    <w:rsid w:val="00834A90"/>
    <w:rsid w:val="00836241"/>
    <w:rsid w:val="00836ADD"/>
    <w:rsid w:val="00841819"/>
    <w:rsid w:val="00850E2C"/>
    <w:rsid w:val="008612FE"/>
    <w:rsid w:val="00873A0C"/>
    <w:rsid w:val="008752F6"/>
    <w:rsid w:val="00884B99"/>
    <w:rsid w:val="00892F92"/>
    <w:rsid w:val="008968CA"/>
    <w:rsid w:val="008A14B3"/>
    <w:rsid w:val="008A3F88"/>
    <w:rsid w:val="008A3F93"/>
    <w:rsid w:val="008A6680"/>
    <w:rsid w:val="008B023D"/>
    <w:rsid w:val="008B2672"/>
    <w:rsid w:val="008B43BE"/>
    <w:rsid w:val="008D6CD1"/>
    <w:rsid w:val="008E183C"/>
    <w:rsid w:val="008E636E"/>
    <w:rsid w:val="008F4505"/>
    <w:rsid w:val="0090198A"/>
    <w:rsid w:val="0090285D"/>
    <w:rsid w:val="00902F64"/>
    <w:rsid w:val="00902FA0"/>
    <w:rsid w:val="00903A0C"/>
    <w:rsid w:val="00912079"/>
    <w:rsid w:val="00914255"/>
    <w:rsid w:val="009178E1"/>
    <w:rsid w:val="0093411F"/>
    <w:rsid w:val="0093757F"/>
    <w:rsid w:val="009452C2"/>
    <w:rsid w:val="00983195"/>
    <w:rsid w:val="009947AB"/>
    <w:rsid w:val="00996945"/>
    <w:rsid w:val="00996C1F"/>
    <w:rsid w:val="0099726B"/>
    <w:rsid w:val="009B373B"/>
    <w:rsid w:val="009B65DE"/>
    <w:rsid w:val="009C101F"/>
    <w:rsid w:val="009C36F4"/>
    <w:rsid w:val="009D4B77"/>
    <w:rsid w:val="009D7CAE"/>
    <w:rsid w:val="009E5112"/>
    <w:rsid w:val="009F1CA5"/>
    <w:rsid w:val="009F5E03"/>
    <w:rsid w:val="00A01A41"/>
    <w:rsid w:val="00A04092"/>
    <w:rsid w:val="00A122A6"/>
    <w:rsid w:val="00A1631D"/>
    <w:rsid w:val="00A4192F"/>
    <w:rsid w:val="00A60F37"/>
    <w:rsid w:val="00A66021"/>
    <w:rsid w:val="00A72C8B"/>
    <w:rsid w:val="00A7516A"/>
    <w:rsid w:val="00AA2D69"/>
    <w:rsid w:val="00AA47DB"/>
    <w:rsid w:val="00AB0BCF"/>
    <w:rsid w:val="00AC0BC7"/>
    <w:rsid w:val="00AC2CD2"/>
    <w:rsid w:val="00AC7954"/>
    <w:rsid w:val="00B06BD4"/>
    <w:rsid w:val="00B102F8"/>
    <w:rsid w:val="00B162A2"/>
    <w:rsid w:val="00B3571B"/>
    <w:rsid w:val="00B41553"/>
    <w:rsid w:val="00B43778"/>
    <w:rsid w:val="00B506B3"/>
    <w:rsid w:val="00B555AF"/>
    <w:rsid w:val="00B72016"/>
    <w:rsid w:val="00B80497"/>
    <w:rsid w:val="00B900C3"/>
    <w:rsid w:val="00B90DAD"/>
    <w:rsid w:val="00BA7293"/>
    <w:rsid w:val="00BC5538"/>
    <w:rsid w:val="00BC6A0F"/>
    <w:rsid w:val="00BE7657"/>
    <w:rsid w:val="00C00A48"/>
    <w:rsid w:val="00C05FE2"/>
    <w:rsid w:val="00C06346"/>
    <w:rsid w:val="00C102D8"/>
    <w:rsid w:val="00C12B12"/>
    <w:rsid w:val="00C26B8F"/>
    <w:rsid w:val="00C30725"/>
    <w:rsid w:val="00C379E7"/>
    <w:rsid w:val="00C558C6"/>
    <w:rsid w:val="00C57363"/>
    <w:rsid w:val="00C60E41"/>
    <w:rsid w:val="00C67082"/>
    <w:rsid w:val="00C80066"/>
    <w:rsid w:val="00C910A7"/>
    <w:rsid w:val="00C96AEB"/>
    <w:rsid w:val="00CA257C"/>
    <w:rsid w:val="00CA44C4"/>
    <w:rsid w:val="00CA6BB6"/>
    <w:rsid w:val="00CB3731"/>
    <w:rsid w:val="00CB43EB"/>
    <w:rsid w:val="00CB7393"/>
    <w:rsid w:val="00CD6F56"/>
    <w:rsid w:val="00CE3239"/>
    <w:rsid w:val="00CE3414"/>
    <w:rsid w:val="00CE39FF"/>
    <w:rsid w:val="00CE3A92"/>
    <w:rsid w:val="00CF0580"/>
    <w:rsid w:val="00CF293F"/>
    <w:rsid w:val="00CF5527"/>
    <w:rsid w:val="00D021B1"/>
    <w:rsid w:val="00D12F3F"/>
    <w:rsid w:val="00D13BF2"/>
    <w:rsid w:val="00D25198"/>
    <w:rsid w:val="00D27A8A"/>
    <w:rsid w:val="00D3544C"/>
    <w:rsid w:val="00D4547A"/>
    <w:rsid w:val="00D523A3"/>
    <w:rsid w:val="00D53D16"/>
    <w:rsid w:val="00D71751"/>
    <w:rsid w:val="00D766AD"/>
    <w:rsid w:val="00D870EC"/>
    <w:rsid w:val="00DA22AB"/>
    <w:rsid w:val="00DB0A05"/>
    <w:rsid w:val="00DB43A0"/>
    <w:rsid w:val="00DC2631"/>
    <w:rsid w:val="00DD5DC6"/>
    <w:rsid w:val="00DE1F78"/>
    <w:rsid w:val="00DE346C"/>
    <w:rsid w:val="00E01682"/>
    <w:rsid w:val="00E05471"/>
    <w:rsid w:val="00E1206D"/>
    <w:rsid w:val="00E21DE5"/>
    <w:rsid w:val="00E749D0"/>
    <w:rsid w:val="00E82A4B"/>
    <w:rsid w:val="00E86CD3"/>
    <w:rsid w:val="00E90A82"/>
    <w:rsid w:val="00E92D74"/>
    <w:rsid w:val="00E9408E"/>
    <w:rsid w:val="00E94E92"/>
    <w:rsid w:val="00E95513"/>
    <w:rsid w:val="00E95D6D"/>
    <w:rsid w:val="00E9713A"/>
    <w:rsid w:val="00EA4A13"/>
    <w:rsid w:val="00EA6922"/>
    <w:rsid w:val="00EB5BFE"/>
    <w:rsid w:val="00EC70BE"/>
    <w:rsid w:val="00EE03EE"/>
    <w:rsid w:val="00EF56B2"/>
    <w:rsid w:val="00EF6931"/>
    <w:rsid w:val="00F05345"/>
    <w:rsid w:val="00F14AFB"/>
    <w:rsid w:val="00F1752A"/>
    <w:rsid w:val="00F21151"/>
    <w:rsid w:val="00F25540"/>
    <w:rsid w:val="00F26CD1"/>
    <w:rsid w:val="00F35CE9"/>
    <w:rsid w:val="00F44314"/>
    <w:rsid w:val="00F47B9A"/>
    <w:rsid w:val="00F55B46"/>
    <w:rsid w:val="00F82DF8"/>
    <w:rsid w:val="00F917A0"/>
    <w:rsid w:val="00FA1B81"/>
    <w:rsid w:val="00FA4F39"/>
    <w:rsid w:val="00FB7840"/>
    <w:rsid w:val="00FC20BB"/>
    <w:rsid w:val="00FE6CFD"/>
    <w:rsid w:val="00FE71D3"/>
    <w:rsid w:val="00FF415F"/>
    <w:rsid w:val="00FF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19280B"/>
  <w15:chartTrackingRefBased/>
  <w15:docId w15:val="{6BEB1227-EC86-433C-AAB6-3FB5D09D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7664"/>
    <w:rPr>
      <w:rFonts w:ascii="Garamond" w:hAnsi="Garamond" w:cs="Arial"/>
      <w:sz w:val="22"/>
    </w:rPr>
  </w:style>
  <w:style w:type="paragraph" w:styleId="Heading1">
    <w:name w:val="heading 1"/>
    <w:basedOn w:val="Normal"/>
    <w:next w:val="BodyText"/>
    <w:link w:val="Heading1Char"/>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link w:val="Heading2Char"/>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39"/>
      </w:numPr>
      <w:spacing w:before="240" w:after="60"/>
      <w:outlineLvl w:val="4"/>
    </w:pPr>
    <w:rPr>
      <w:b/>
      <w:bCs/>
      <w:i/>
      <w:iCs/>
      <w:sz w:val="26"/>
      <w:szCs w:val="26"/>
    </w:rPr>
  </w:style>
  <w:style w:type="paragraph" w:styleId="Heading6">
    <w:name w:val="heading 6"/>
    <w:basedOn w:val="Normal"/>
    <w:next w:val="Normal"/>
    <w:rsid w:val="00B3571B"/>
    <w:pPr>
      <w:numPr>
        <w:ilvl w:val="5"/>
        <w:numId w:val="39"/>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39"/>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39"/>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39"/>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20"/>
      </w:numPr>
      <w:spacing w:after="20" w:line="260" w:lineRule="atLeast"/>
    </w:pPr>
  </w:style>
  <w:style w:type="paragraph" w:styleId="ListNumber2">
    <w:name w:val="List Number 2"/>
    <w:basedOn w:val="Normal"/>
    <w:qFormat/>
    <w:pPr>
      <w:numPr>
        <w:ilvl w:val="1"/>
        <w:numId w:val="18"/>
      </w:numPr>
      <w:spacing w:after="284" w:line="280" w:lineRule="atLeast"/>
    </w:pPr>
  </w:style>
  <w:style w:type="paragraph" w:styleId="ListNumber">
    <w:name w:val="List Number"/>
    <w:basedOn w:val="Normal"/>
    <w:qFormat/>
    <w:pPr>
      <w:numPr>
        <w:numId w:val="18"/>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20"/>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18"/>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32"/>
      </w:numPr>
      <w:spacing w:after="284" w:line="280" w:lineRule="atLeast"/>
    </w:pPr>
  </w:style>
  <w:style w:type="paragraph" w:customStyle="1" w:styleId="ParagraphBullet2">
    <w:name w:val="Paragraph Bullet 2"/>
    <w:basedOn w:val="Normal"/>
    <w:qFormat/>
    <w:pPr>
      <w:numPr>
        <w:ilvl w:val="1"/>
        <w:numId w:val="32"/>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34"/>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34"/>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uiPriority w:val="20"/>
    <w:qForma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uiPriority w:val="99"/>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4"/>
      </w:numPr>
      <w:contextualSpacing/>
    </w:pPr>
  </w:style>
  <w:style w:type="paragraph" w:styleId="ListBullet4">
    <w:name w:val="List Bullet 4"/>
    <w:basedOn w:val="Normal"/>
    <w:rsid w:val="00DD5DC6"/>
    <w:pPr>
      <w:numPr>
        <w:numId w:val="22"/>
      </w:numPr>
      <w:contextualSpacing/>
    </w:pPr>
  </w:style>
  <w:style w:type="paragraph" w:styleId="ListBullet5">
    <w:name w:val="List Bullet 5"/>
    <w:basedOn w:val="Normal"/>
    <w:rsid w:val="00DD5DC6"/>
    <w:pPr>
      <w:numPr>
        <w:numId w:val="23"/>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25"/>
      </w:numPr>
      <w:contextualSpacing/>
    </w:pPr>
  </w:style>
  <w:style w:type="paragraph" w:styleId="ListNumber5">
    <w:name w:val="List Number 5"/>
    <w:basedOn w:val="Normal"/>
    <w:rsid w:val="00DD5DC6"/>
    <w:pPr>
      <w:numPr>
        <w:numId w:val="26"/>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uiPriority w:val="99"/>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FooterChar">
    <w:name w:val="Footer Char"/>
    <w:basedOn w:val="DefaultParagraphFont"/>
    <w:link w:val="Footer"/>
    <w:uiPriority w:val="99"/>
    <w:rsid w:val="00207664"/>
    <w:rPr>
      <w:rFonts w:ascii="Arial" w:hAnsi="Arial" w:cs="Arial"/>
      <w:b/>
      <w:color w:val="747678"/>
      <w:sz w:val="13"/>
    </w:rPr>
  </w:style>
  <w:style w:type="character" w:customStyle="1" w:styleId="Heading1Char">
    <w:name w:val="Heading 1 Char"/>
    <w:basedOn w:val="DefaultParagraphFont"/>
    <w:link w:val="Heading1"/>
    <w:rsid w:val="00207664"/>
    <w:rPr>
      <w:rFonts w:ascii="Arial Black" w:hAnsi="Arial Black" w:cs="Arial"/>
      <w:bCs/>
      <w:color w:val="4F2D7F"/>
      <w:kern w:val="32"/>
      <w:sz w:val="19"/>
      <w:szCs w:val="28"/>
    </w:rPr>
  </w:style>
  <w:style w:type="character" w:customStyle="1" w:styleId="Heading2Char">
    <w:name w:val="Heading 2 Char"/>
    <w:basedOn w:val="DefaultParagraphFont"/>
    <w:link w:val="Heading2"/>
    <w:rsid w:val="00207664"/>
    <w:rPr>
      <w:rFonts w:ascii="Arial Black" w:hAnsi="Arial Black" w:cs="Arial"/>
      <w:kern w:val="32"/>
      <w:sz w:val="19"/>
      <w:szCs w:val="24"/>
    </w:rPr>
  </w:style>
  <w:style w:type="paragraph" w:customStyle="1" w:styleId="armleftmargin025">
    <w:name w:val="arm_leftmargin_025"/>
    <w:basedOn w:val="Normal"/>
    <w:rsid w:val="00CA6BB6"/>
    <w:pPr>
      <w:spacing w:after="240"/>
    </w:pPr>
    <w:rPr>
      <w:rFonts w:ascii="Times New Roman" w:hAnsi="Times New Roman" w:cs="Times New Roman"/>
      <w:sz w:val="24"/>
      <w:szCs w:val="24"/>
    </w:rPr>
  </w:style>
  <w:style w:type="character" w:customStyle="1" w:styleId="showsources3">
    <w:name w:val="showsources3"/>
    <w:basedOn w:val="DefaultParagraphFont"/>
    <w:rsid w:val="00CA6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4515">
      <w:bodyDiv w:val="1"/>
      <w:marLeft w:val="0"/>
      <w:marRight w:val="0"/>
      <w:marTop w:val="0"/>
      <w:marBottom w:val="0"/>
      <w:divBdr>
        <w:top w:val="none" w:sz="0" w:space="0" w:color="auto"/>
        <w:left w:val="none" w:sz="0" w:space="0" w:color="auto"/>
        <w:bottom w:val="none" w:sz="0" w:space="0" w:color="auto"/>
        <w:right w:val="none" w:sz="0" w:space="0" w:color="auto"/>
      </w:divBdr>
      <w:divsChild>
        <w:div w:id="1429424390">
          <w:marLeft w:val="0"/>
          <w:marRight w:val="0"/>
          <w:marTop w:val="0"/>
          <w:marBottom w:val="0"/>
          <w:divBdr>
            <w:top w:val="none" w:sz="0" w:space="0" w:color="auto"/>
            <w:left w:val="none" w:sz="0" w:space="0" w:color="auto"/>
            <w:bottom w:val="none" w:sz="0" w:space="0" w:color="auto"/>
            <w:right w:val="none" w:sz="0" w:space="0" w:color="auto"/>
          </w:divBdr>
          <w:divsChild>
            <w:div w:id="1171068615">
              <w:marLeft w:val="0"/>
              <w:marRight w:val="0"/>
              <w:marTop w:val="0"/>
              <w:marBottom w:val="0"/>
              <w:divBdr>
                <w:top w:val="none" w:sz="0" w:space="0" w:color="auto"/>
                <w:left w:val="none" w:sz="0" w:space="0" w:color="auto"/>
                <w:bottom w:val="none" w:sz="0" w:space="0" w:color="auto"/>
                <w:right w:val="none" w:sz="0" w:space="0" w:color="auto"/>
              </w:divBdr>
              <w:divsChild>
                <w:div w:id="1804883635">
                  <w:marLeft w:val="0"/>
                  <w:marRight w:val="0"/>
                  <w:marTop w:val="0"/>
                  <w:marBottom w:val="0"/>
                  <w:divBdr>
                    <w:top w:val="none" w:sz="0" w:space="0" w:color="auto"/>
                    <w:left w:val="none" w:sz="0" w:space="0" w:color="auto"/>
                    <w:bottom w:val="none" w:sz="0" w:space="0" w:color="auto"/>
                    <w:right w:val="none" w:sz="0" w:space="0" w:color="auto"/>
                  </w:divBdr>
                  <w:divsChild>
                    <w:div w:id="543716022">
                      <w:marLeft w:val="-150"/>
                      <w:marRight w:val="-150"/>
                      <w:marTop w:val="0"/>
                      <w:marBottom w:val="0"/>
                      <w:divBdr>
                        <w:top w:val="none" w:sz="0" w:space="0" w:color="auto"/>
                        <w:left w:val="none" w:sz="0" w:space="0" w:color="auto"/>
                        <w:bottom w:val="none" w:sz="0" w:space="0" w:color="auto"/>
                        <w:right w:val="none" w:sz="0" w:space="0" w:color="auto"/>
                      </w:divBdr>
                      <w:divsChild>
                        <w:div w:id="2104836051">
                          <w:marLeft w:val="0"/>
                          <w:marRight w:val="0"/>
                          <w:marTop w:val="0"/>
                          <w:marBottom w:val="0"/>
                          <w:divBdr>
                            <w:top w:val="none" w:sz="0" w:space="0" w:color="auto"/>
                            <w:left w:val="none" w:sz="0" w:space="0" w:color="auto"/>
                            <w:bottom w:val="none" w:sz="0" w:space="0" w:color="auto"/>
                            <w:right w:val="none" w:sz="0" w:space="0" w:color="auto"/>
                          </w:divBdr>
                          <w:divsChild>
                            <w:div w:id="1863862464">
                              <w:marLeft w:val="0"/>
                              <w:marRight w:val="0"/>
                              <w:marTop w:val="0"/>
                              <w:marBottom w:val="0"/>
                              <w:divBdr>
                                <w:top w:val="none" w:sz="0" w:space="0" w:color="auto"/>
                                <w:left w:val="none" w:sz="0" w:space="0" w:color="auto"/>
                                <w:bottom w:val="none" w:sz="0" w:space="0" w:color="auto"/>
                                <w:right w:val="none" w:sz="0" w:space="0" w:color="auto"/>
                              </w:divBdr>
                              <w:divsChild>
                                <w:div w:id="1593472184">
                                  <w:marLeft w:val="0"/>
                                  <w:marRight w:val="0"/>
                                  <w:marTop w:val="0"/>
                                  <w:marBottom w:val="0"/>
                                  <w:divBdr>
                                    <w:top w:val="none" w:sz="0" w:space="0" w:color="auto"/>
                                    <w:left w:val="none" w:sz="0" w:space="0" w:color="auto"/>
                                    <w:bottom w:val="none" w:sz="0" w:space="0" w:color="auto"/>
                                    <w:right w:val="none" w:sz="0" w:space="0" w:color="auto"/>
                                  </w:divBdr>
                                  <w:divsChild>
                                    <w:div w:id="1709602873">
                                      <w:marLeft w:val="0"/>
                                      <w:marRight w:val="0"/>
                                      <w:marTop w:val="0"/>
                                      <w:marBottom w:val="0"/>
                                      <w:divBdr>
                                        <w:top w:val="none" w:sz="0" w:space="0" w:color="auto"/>
                                        <w:left w:val="none" w:sz="0" w:space="0" w:color="auto"/>
                                        <w:bottom w:val="none" w:sz="0" w:space="0" w:color="auto"/>
                                        <w:right w:val="none" w:sz="0" w:space="0" w:color="auto"/>
                                      </w:divBdr>
                                      <w:divsChild>
                                        <w:div w:id="2145080966">
                                          <w:marLeft w:val="0"/>
                                          <w:marRight w:val="0"/>
                                          <w:marTop w:val="0"/>
                                          <w:marBottom w:val="0"/>
                                          <w:divBdr>
                                            <w:top w:val="none" w:sz="0" w:space="0" w:color="auto"/>
                                            <w:left w:val="none" w:sz="0" w:space="0" w:color="auto"/>
                                            <w:bottom w:val="none" w:sz="0" w:space="0" w:color="auto"/>
                                            <w:right w:val="none" w:sz="0" w:space="0" w:color="auto"/>
                                          </w:divBdr>
                                          <w:divsChild>
                                            <w:div w:id="652804993">
                                              <w:marLeft w:val="0"/>
                                              <w:marRight w:val="0"/>
                                              <w:marTop w:val="0"/>
                                              <w:marBottom w:val="0"/>
                                              <w:divBdr>
                                                <w:top w:val="none" w:sz="0" w:space="0" w:color="auto"/>
                                                <w:left w:val="none" w:sz="0" w:space="0" w:color="auto"/>
                                                <w:bottom w:val="none" w:sz="0" w:space="0" w:color="auto"/>
                                                <w:right w:val="none" w:sz="0" w:space="0" w:color="auto"/>
                                              </w:divBdr>
                                              <w:divsChild>
                                                <w:div w:id="536892116">
                                                  <w:marLeft w:val="0"/>
                                                  <w:marRight w:val="0"/>
                                                  <w:marTop w:val="0"/>
                                                  <w:marBottom w:val="0"/>
                                                  <w:divBdr>
                                                    <w:top w:val="none" w:sz="0" w:space="0" w:color="auto"/>
                                                    <w:left w:val="none" w:sz="0" w:space="0" w:color="auto"/>
                                                    <w:bottom w:val="none" w:sz="0" w:space="0" w:color="auto"/>
                                                    <w:right w:val="none" w:sz="0" w:space="0" w:color="auto"/>
                                                  </w:divBdr>
                                                  <w:divsChild>
                                                    <w:div w:id="273289852">
                                                      <w:marLeft w:val="0"/>
                                                      <w:marRight w:val="0"/>
                                                      <w:marTop w:val="0"/>
                                                      <w:marBottom w:val="0"/>
                                                      <w:divBdr>
                                                        <w:top w:val="none" w:sz="0" w:space="0" w:color="auto"/>
                                                        <w:left w:val="none" w:sz="0" w:space="0" w:color="auto"/>
                                                        <w:bottom w:val="none" w:sz="0" w:space="0" w:color="auto"/>
                                                        <w:right w:val="none" w:sz="0" w:space="0" w:color="auto"/>
                                                      </w:divBdr>
                                                      <w:divsChild>
                                                        <w:div w:id="3329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9549600">
      <w:bodyDiv w:val="1"/>
      <w:marLeft w:val="0"/>
      <w:marRight w:val="0"/>
      <w:marTop w:val="0"/>
      <w:marBottom w:val="0"/>
      <w:divBdr>
        <w:top w:val="none" w:sz="0" w:space="0" w:color="auto"/>
        <w:left w:val="none" w:sz="0" w:space="0" w:color="auto"/>
        <w:bottom w:val="none" w:sz="0" w:space="0" w:color="auto"/>
        <w:right w:val="none" w:sz="0" w:space="0" w:color="auto"/>
      </w:divBdr>
      <w:divsChild>
        <w:div w:id="1172725173">
          <w:marLeft w:val="0"/>
          <w:marRight w:val="0"/>
          <w:marTop w:val="0"/>
          <w:marBottom w:val="0"/>
          <w:divBdr>
            <w:top w:val="none" w:sz="0" w:space="0" w:color="auto"/>
            <w:left w:val="none" w:sz="0" w:space="0" w:color="auto"/>
            <w:bottom w:val="none" w:sz="0" w:space="0" w:color="auto"/>
            <w:right w:val="none" w:sz="0" w:space="0" w:color="auto"/>
          </w:divBdr>
          <w:divsChild>
            <w:div w:id="274024041">
              <w:marLeft w:val="0"/>
              <w:marRight w:val="0"/>
              <w:marTop w:val="0"/>
              <w:marBottom w:val="0"/>
              <w:divBdr>
                <w:top w:val="none" w:sz="0" w:space="0" w:color="auto"/>
                <w:left w:val="none" w:sz="0" w:space="0" w:color="auto"/>
                <w:bottom w:val="none" w:sz="0" w:space="0" w:color="auto"/>
                <w:right w:val="none" w:sz="0" w:space="0" w:color="auto"/>
              </w:divBdr>
              <w:divsChild>
                <w:div w:id="1634679569">
                  <w:marLeft w:val="0"/>
                  <w:marRight w:val="0"/>
                  <w:marTop w:val="0"/>
                  <w:marBottom w:val="0"/>
                  <w:divBdr>
                    <w:top w:val="none" w:sz="0" w:space="0" w:color="auto"/>
                    <w:left w:val="none" w:sz="0" w:space="0" w:color="auto"/>
                    <w:bottom w:val="none" w:sz="0" w:space="0" w:color="auto"/>
                    <w:right w:val="none" w:sz="0" w:space="0" w:color="auto"/>
                  </w:divBdr>
                  <w:divsChild>
                    <w:div w:id="1827941321">
                      <w:marLeft w:val="-150"/>
                      <w:marRight w:val="-150"/>
                      <w:marTop w:val="0"/>
                      <w:marBottom w:val="0"/>
                      <w:divBdr>
                        <w:top w:val="none" w:sz="0" w:space="0" w:color="auto"/>
                        <w:left w:val="none" w:sz="0" w:space="0" w:color="auto"/>
                        <w:bottom w:val="none" w:sz="0" w:space="0" w:color="auto"/>
                        <w:right w:val="none" w:sz="0" w:space="0" w:color="auto"/>
                      </w:divBdr>
                      <w:divsChild>
                        <w:div w:id="1607738590">
                          <w:marLeft w:val="0"/>
                          <w:marRight w:val="0"/>
                          <w:marTop w:val="0"/>
                          <w:marBottom w:val="0"/>
                          <w:divBdr>
                            <w:top w:val="none" w:sz="0" w:space="0" w:color="auto"/>
                            <w:left w:val="none" w:sz="0" w:space="0" w:color="auto"/>
                            <w:bottom w:val="none" w:sz="0" w:space="0" w:color="auto"/>
                            <w:right w:val="none" w:sz="0" w:space="0" w:color="auto"/>
                          </w:divBdr>
                          <w:divsChild>
                            <w:div w:id="1849129488">
                              <w:marLeft w:val="0"/>
                              <w:marRight w:val="0"/>
                              <w:marTop w:val="0"/>
                              <w:marBottom w:val="0"/>
                              <w:divBdr>
                                <w:top w:val="none" w:sz="0" w:space="0" w:color="auto"/>
                                <w:left w:val="none" w:sz="0" w:space="0" w:color="auto"/>
                                <w:bottom w:val="none" w:sz="0" w:space="0" w:color="auto"/>
                                <w:right w:val="none" w:sz="0" w:space="0" w:color="auto"/>
                              </w:divBdr>
                              <w:divsChild>
                                <w:div w:id="13924223">
                                  <w:marLeft w:val="0"/>
                                  <w:marRight w:val="0"/>
                                  <w:marTop w:val="0"/>
                                  <w:marBottom w:val="0"/>
                                  <w:divBdr>
                                    <w:top w:val="none" w:sz="0" w:space="0" w:color="auto"/>
                                    <w:left w:val="none" w:sz="0" w:space="0" w:color="auto"/>
                                    <w:bottom w:val="none" w:sz="0" w:space="0" w:color="auto"/>
                                    <w:right w:val="none" w:sz="0" w:space="0" w:color="auto"/>
                                  </w:divBdr>
                                  <w:divsChild>
                                    <w:div w:id="1476213881">
                                      <w:marLeft w:val="0"/>
                                      <w:marRight w:val="0"/>
                                      <w:marTop w:val="0"/>
                                      <w:marBottom w:val="0"/>
                                      <w:divBdr>
                                        <w:top w:val="none" w:sz="0" w:space="0" w:color="auto"/>
                                        <w:left w:val="none" w:sz="0" w:space="0" w:color="auto"/>
                                        <w:bottom w:val="none" w:sz="0" w:space="0" w:color="auto"/>
                                        <w:right w:val="none" w:sz="0" w:space="0" w:color="auto"/>
                                      </w:divBdr>
                                      <w:divsChild>
                                        <w:div w:id="2000158956">
                                          <w:marLeft w:val="0"/>
                                          <w:marRight w:val="0"/>
                                          <w:marTop w:val="0"/>
                                          <w:marBottom w:val="0"/>
                                          <w:divBdr>
                                            <w:top w:val="none" w:sz="0" w:space="0" w:color="auto"/>
                                            <w:left w:val="none" w:sz="0" w:space="0" w:color="auto"/>
                                            <w:bottom w:val="none" w:sz="0" w:space="0" w:color="auto"/>
                                            <w:right w:val="none" w:sz="0" w:space="0" w:color="auto"/>
                                          </w:divBdr>
                                          <w:divsChild>
                                            <w:div w:id="1442606057">
                                              <w:marLeft w:val="0"/>
                                              <w:marRight w:val="0"/>
                                              <w:marTop w:val="0"/>
                                              <w:marBottom w:val="0"/>
                                              <w:divBdr>
                                                <w:top w:val="none" w:sz="0" w:space="0" w:color="auto"/>
                                                <w:left w:val="none" w:sz="0" w:space="0" w:color="auto"/>
                                                <w:bottom w:val="none" w:sz="0" w:space="0" w:color="auto"/>
                                                <w:right w:val="none" w:sz="0" w:space="0" w:color="auto"/>
                                              </w:divBdr>
                                              <w:divsChild>
                                                <w:div w:id="1186290316">
                                                  <w:marLeft w:val="0"/>
                                                  <w:marRight w:val="0"/>
                                                  <w:marTop w:val="0"/>
                                                  <w:marBottom w:val="0"/>
                                                  <w:divBdr>
                                                    <w:top w:val="none" w:sz="0" w:space="0" w:color="auto"/>
                                                    <w:left w:val="none" w:sz="0" w:space="0" w:color="auto"/>
                                                    <w:bottom w:val="none" w:sz="0" w:space="0" w:color="auto"/>
                                                    <w:right w:val="none" w:sz="0" w:space="0" w:color="auto"/>
                                                  </w:divBdr>
                                                  <w:divsChild>
                                                    <w:div w:id="657147617">
                                                      <w:marLeft w:val="0"/>
                                                      <w:marRight w:val="0"/>
                                                      <w:marTop w:val="0"/>
                                                      <w:marBottom w:val="0"/>
                                                      <w:divBdr>
                                                        <w:top w:val="none" w:sz="0" w:space="0" w:color="auto"/>
                                                        <w:left w:val="none" w:sz="0" w:space="0" w:color="auto"/>
                                                        <w:bottom w:val="none" w:sz="0" w:space="0" w:color="auto"/>
                                                        <w:right w:val="none" w:sz="0" w:space="0" w:color="auto"/>
                                                      </w:divBdr>
                                                      <w:divsChild>
                                                        <w:div w:id="10991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8968733">
      <w:bodyDiv w:val="1"/>
      <w:marLeft w:val="0"/>
      <w:marRight w:val="0"/>
      <w:marTop w:val="0"/>
      <w:marBottom w:val="0"/>
      <w:divBdr>
        <w:top w:val="none" w:sz="0" w:space="0" w:color="auto"/>
        <w:left w:val="none" w:sz="0" w:space="0" w:color="auto"/>
        <w:bottom w:val="none" w:sz="0" w:space="0" w:color="auto"/>
        <w:right w:val="none" w:sz="0" w:space="0" w:color="auto"/>
      </w:divBdr>
      <w:divsChild>
        <w:div w:id="847251178">
          <w:marLeft w:val="0"/>
          <w:marRight w:val="0"/>
          <w:marTop w:val="0"/>
          <w:marBottom w:val="0"/>
          <w:divBdr>
            <w:top w:val="none" w:sz="0" w:space="0" w:color="auto"/>
            <w:left w:val="none" w:sz="0" w:space="0" w:color="auto"/>
            <w:bottom w:val="none" w:sz="0" w:space="0" w:color="auto"/>
            <w:right w:val="none" w:sz="0" w:space="0" w:color="auto"/>
          </w:divBdr>
          <w:divsChild>
            <w:div w:id="825784923">
              <w:marLeft w:val="0"/>
              <w:marRight w:val="0"/>
              <w:marTop w:val="0"/>
              <w:marBottom w:val="0"/>
              <w:divBdr>
                <w:top w:val="none" w:sz="0" w:space="0" w:color="auto"/>
                <w:left w:val="none" w:sz="0" w:space="0" w:color="auto"/>
                <w:bottom w:val="none" w:sz="0" w:space="0" w:color="auto"/>
                <w:right w:val="none" w:sz="0" w:space="0" w:color="auto"/>
              </w:divBdr>
              <w:divsChild>
                <w:div w:id="952437538">
                  <w:marLeft w:val="0"/>
                  <w:marRight w:val="0"/>
                  <w:marTop w:val="0"/>
                  <w:marBottom w:val="0"/>
                  <w:divBdr>
                    <w:top w:val="none" w:sz="0" w:space="0" w:color="auto"/>
                    <w:left w:val="none" w:sz="0" w:space="0" w:color="auto"/>
                    <w:bottom w:val="none" w:sz="0" w:space="0" w:color="auto"/>
                    <w:right w:val="none" w:sz="0" w:space="0" w:color="auto"/>
                  </w:divBdr>
                  <w:divsChild>
                    <w:div w:id="569774549">
                      <w:marLeft w:val="-150"/>
                      <w:marRight w:val="-150"/>
                      <w:marTop w:val="0"/>
                      <w:marBottom w:val="0"/>
                      <w:divBdr>
                        <w:top w:val="none" w:sz="0" w:space="0" w:color="auto"/>
                        <w:left w:val="none" w:sz="0" w:space="0" w:color="auto"/>
                        <w:bottom w:val="none" w:sz="0" w:space="0" w:color="auto"/>
                        <w:right w:val="none" w:sz="0" w:space="0" w:color="auto"/>
                      </w:divBdr>
                      <w:divsChild>
                        <w:div w:id="1767187382">
                          <w:marLeft w:val="0"/>
                          <w:marRight w:val="0"/>
                          <w:marTop w:val="0"/>
                          <w:marBottom w:val="0"/>
                          <w:divBdr>
                            <w:top w:val="none" w:sz="0" w:space="0" w:color="auto"/>
                            <w:left w:val="none" w:sz="0" w:space="0" w:color="auto"/>
                            <w:bottom w:val="none" w:sz="0" w:space="0" w:color="auto"/>
                            <w:right w:val="none" w:sz="0" w:space="0" w:color="auto"/>
                          </w:divBdr>
                          <w:divsChild>
                            <w:div w:id="561529223">
                              <w:marLeft w:val="0"/>
                              <w:marRight w:val="0"/>
                              <w:marTop w:val="0"/>
                              <w:marBottom w:val="0"/>
                              <w:divBdr>
                                <w:top w:val="none" w:sz="0" w:space="0" w:color="auto"/>
                                <w:left w:val="none" w:sz="0" w:space="0" w:color="auto"/>
                                <w:bottom w:val="none" w:sz="0" w:space="0" w:color="auto"/>
                                <w:right w:val="none" w:sz="0" w:space="0" w:color="auto"/>
                              </w:divBdr>
                              <w:divsChild>
                                <w:div w:id="30307811">
                                  <w:marLeft w:val="0"/>
                                  <w:marRight w:val="0"/>
                                  <w:marTop w:val="0"/>
                                  <w:marBottom w:val="0"/>
                                  <w:divBdr>
                                    <w:top w:val="none" w:sz="0" w:space="0" w:color="auto"/>
                                    <w:left w:val="none" w:sz="0" w:space="0" w:color="auto"/>
                                    <w:bottom w:val="none" w:sz="0" w:space="0" w:color="auto"/>
                                    <w:right w:val="none" w:sz="0" w:space="0" w:color="auto"/>
                                  </w:divBdr>
                                  <w:divsChild>
                                    <w:div w:id="757216593">
                                      <w:marLeft w:val="0"/>
                                      <w:marRight w:val="0"/>
                                      <w:marTop w:val="0"/>
                                      <w:marBottom w:val="0"/>
                                      <w:divBdr>
                                        <w:top w:val="none" w:sz="0" w:space="0" w:color="auto"/>
                                        <w:left w:val="none" w:sz="0" w:space="0" w:color="auto"/>
                                        <w:bottom w:val="none" w:sz="0" w:space="0" w:color="auto"/>
                                        <w:right w:val="none" w:sz="0" w:space="0" w:color="auto"/>
                                      </w:divBdr>
                                      <w:divsChild>
                                        <w:div w:id="1263994264">
                                          <w:marLeft w:val="0"/>
                                          <w:marRight w:val="0"/>
                                          <w:marTop w:val="0"/>
                                          <w:marBottom w:val="0"/>
                                          <w:divBdr>
                                            <w:top w:val="none" w:sz="0" w:space="0" w:color="auto"/>
                                            <w:left w:val="none" w:sz="0" w:space="0" w:color="auto"/>
                                            <w:bottom w:val="none" w:sz="0" w:space="0" w:color="auto"/>
                                            <w:right w:val="none" w:sz="0" w:space="0" w:color="auto"/>
                                          </w:divBdr>
                                          <w:divsChild>
                                            <w:div w:id="2130320224">
                                              <w:marLeft w:val="0"/>
                                              <w:marRight w:val="0"/>
                                              <w:marTop w:val="0"/>
                                              <w:marBottom w:val="0"/>
                                              <w:divBdr>
                                                <w:top w:val="none" w:sz="0" w:space="0" w:color="auto"/>
                                                <w:left w:val="none" w:sz="0" w:space="0" w:color="auto"/>
                                                <w:bottom w:val="none" w:sz="0" w:space="0" w:color="auto"/>
                                                <w:right w:val="none" w:sz="0" w:space="0" w:color="auto"/>
                                              </w:divBdr>
                                              <w:divsChild>
                                                <w:div w:id="194776081">
                                                  <w:marLeft w:val="0"/>
                                                  <w:marRight w:val="0"/>
                                                  <w:marTop w:val="0"/>
                                                  <w:marBottom w:val="0"/>
                                                  <w:divBdr>
                                                    <w:top w:val="none" w:sz="0" w:space="0" w:color="auto"/>
                                                    <w:left w:val="none" w:sz="0" w:space="0" w:color="auto"/>
                                                    <w:bottom w:val="none" w:sz="0" w:space="0" w:color="auto"/>
                                                    <w:right w:val="none" w:sz="0" w:space="0" w:color="auto"/>
                                                  </w:divBdr>
                                                  <w:divsChild>
                                                    <w:div w:id="2026898362">
                                                      <w:marLeft w:val="0"/>
                                                      <w:marRight w:val="0"/>
                                                      <w:marTop w:val="0"/>
                                                      <w:marBottom w:val="0"/>
                                                      <w:divBdr>
                                                        <w:top w:val="none" w:sz="0" w:space="0" w:color="auto"/>
                                                        <w:left w:val="none" w:sz="0" w:space="0" w:color="auto"/>
                                                        <w:bottom w:val="none" w:sz="0" w:space="0" w:color="auto"/>
                                                        <w:right w:val="none" w:sz="0" w:space="0" w:color="auto"/>
                                                      </w:divBdr>
                                                      <w:divsChild>
                                                        <w:div w:id="13868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8308063">
      <w:bodyDiv w:val="1"/>
      <w:marLeft w:val="0"/>
      <w:marRight w:val="0"/>
      <w:marTop w:val="0"/>
      <w:marBottom w:val="0"/>
      <w:divBdr>
        <w:top w:val="none" w:sz="0" w:space="0" w:color="auto"/>
        <w:left w:val="none" w:sz="0" w:space="0" w:color="auto"/>
        <w:bottom w:val="none" w:sz="0" w:space="0" w:color="auto"/>
        <w:right w:val="none" w:sz="0" w:space="0" w:color="auto"/>
      </w:divBdr>
      <w:divsChild>
        <w:div w:id="877547705">
          <w:marLeft w:val="0"/>
          <w:marRight w:val="0"/>
          <w:marTop w:val="0"/>
          <w:marBottom w:val="0"/>
          <w:divBdr>
            <w:top w:val="none" w:sz="0" w:space="0" w:color="auto"/>
            <w:left w:val="none" w:sz="0" w:space="0" w:color="auto"/>
            <w:bottom w:val="none" w:sz="0" w:space="0" w:color="auto"/>
            <w:right w:val="none" w:sz="0" w:space="0" w:color="auto"/>
          </w:divBdr>
          <w:divsChild>
            <w:div w:id="1516115390">
              <w:marLeft w:val="0"/>
              <w:marRight w:val="0"/>
              <w:marTop w:val="0"/>
              <w:marBottom w:val="0"/>
              <w:divBdr>
                <w:top w:val="none" w:sz="0" w:space="0" w:color="auto"/>
                <w:left w:val="none" w:sz="0" w:space="0" w:color="auto"/>
                <w:bottom w:val="none" w:sz="0" w:space="0" w:color="auto"/>
                <w:right w:val="none" w:sz="0" w:space="0" w:color="auto"/>
              </w:divBdr>
              <w:divsChild>
                <w:div w:id="113597409">
                  <w:marLeft w:val="0"/>
                  <w:marRight w:val="0"/>
                  <w:marTop w:val="0"/>
                  <w:marBottom w:val="0"/>
                  <w:divBdr>
                    <w:top w:val="none" w:sz="0" w:space="0" w:color="auto"/>
                    <w:left w:val="none" w:sz="0" w:space="0" w:color="auto"/>
                    <w:bottom w:val="none" w:sz="0" w:space="0" w:color="auto"/>
                    <w:right w:val="none" w:sz="0" w:space="0" w:color="auto"/>
                  </w:divBdr>
                  <w:divsChild>
                    <w:div w:id="1917393755">
                      <w:marLeft w:val="0"/>
                      <w:marRight w:val="0"/>
                      <w:marTop w:val="0"/>
                      <w:marBottom w:val="0"/>
                      <w:divBdr>
                        <w:top w:val="none" w:sz="0" w:space="0" w:color="auto"/>
                        <w:left w:val="none" w:sz="0" w:space="0" w:color="auto"/>
                        <w:bottom w:val="none" w:sz="0" w:space="0" w:color="auto"/>
                        <w:right w:val="none" w:sz="0" w:space="0" w:color="auto"/>
                      </w:divBdr>
                      <w:divsChild>
                        <w:div w:id="1121877524">
                          <w:marLeft w:val="0"/>
                          <w:marRight w:val="0"/>
                          <w:marTop w:val="0"/>
                          <w:marBottom w:val="0"/>
                          <w:divBdr>
                            <w:top w:val="none" w:sz="0" w:space="0" w:color="auto"/>
                            <w:left w:val="none" w:sz="0" w:space="0" w:color="auto"/>
                            <w:bottom w:val="none" w:sz="0" w:space="0" w:color="auto"/>
                            <w:right w:val="none" w:sz="0" w:space="0" w:color="auto"/>
                          </w:divBdr>
                          <w:divsChild>
                            <w:div w:id="1776243806">
                              <w:marLeft w:val="0"/>
                              <w:marRight w:val="0"/>
                              <w:marTop w:val="0"/>
                              <w:marBottom w:val="0"/>
                              <w:divBdr>
                                <w:top w:val="none" w:sz="0" w:space="0" w:color="auto"/>
                                <w:left w:val="none" w:sz="0" w:space="0" w:color="auto"/>
                                <w:bottom w:val="none" w:sz="0" w:space="0" w:color="auto"/>
                                <w:right w:val="none" w:sz="0" w:space="0" w:color="auto"/>
                              </w:divBdr>
                              <w:divsChild>
                                <w:div w:id="1914045950">
                                  <w:marLeft w:val="0"/>
                                  <w:marRight w:val="0"/>
                                  <w:marTop w:val="0"/>
                                  <w:marBottom w:val="0"/>
                                  <w:divBdr>
                                    <w:top w:val="none" w:sz="0" w:space="0" w:color="auto"/>
                                    <w:left w:val="none" w:sz="0" w:space="0" w:color="auto"/>
                                    <w:bottom w:val="none" w:sz="0" w:space="0" w:color="auto"/>
                                    <w:right w:val="none" w:sz="0" w:space="0" w:color="auto"/>
                                  </w:divBdr>
                                  <w:divsChild>
                                    <w:div w:id="1594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E82087E242F841BB29673BD29AE555" ma:contentTypeVersion="0" ma:contentTypeDescription="Create a new document." ma:contentTypeScope="" ma:versionID="e4165a4f357fba904bde472d6b6314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43C32-BEFC-4BFC-9C94-799A6751BEC9}">
  <ds:schemaRefs>
    <ds:schemaRef ds:uri="http://schemas.microsoft.com/sharepoint/v3/contenttype/forms"/>
  </ds:schemaRefs>
</ds:datastoreItem>
</file>

<file path=customXml/itemProps2.xml><?xml version="1.0" encoding="utf-8"?>
<ds:datastoreItem xmlns:ds="http://schemas.openxmlformats.org/officeDocument/2006/customXml" ds:itemID="{D188C73C-175B-4C5C-BF27-0AC58B34CA5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F9BDEFE1-C8D9-418A-A579-DB2E119A0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4C8AE2-F7F0-470A-9884-C36217EEA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Douek, Mark</dc:creator>
  <cp:keywords/>
  <dc:description/>
  <cp:lastModifiedBy>Curtis, Michael R CIV OSD OUSD P-R (US)</cp:lastModifiedBy>
  <cp:revision>2</cp:revision>
  <cp:lastPrinted>2014-10-08T16:46:00Z</cp:lastPrinted>
  <dcterms:created xsi:type="dcterms:W3CDTF">2019-08-20T20:25:00Z</dcterms:created>
  <dcterms:modified xsi:type="dcterms:W3CDTF">2019-08-20T20:25:00Z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0x01010071E82087E242F841BB29673BD29AE555</vt:lpwstr>
  </property>
</Properties>
</file>